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920055" w14:textId="77777777" w:rsidR="00DF6EA5" w:rsidRDefault="00FC2F98">
      <w:pPr>
        <w:pStyle w:val="Title"/>
      </w:pPr>
      <w:r>
        <w:t>Guidance for applicants</w:t>
      </w:r>
    </w:p>
    <w:p w14:paraId="7C2372E6" w14:textId="77777777" w:rsidR="00DF6EA5" w:rsidRDefault="00FC2F98">
      <w:r>
        <w:rPr>
          <w:color w:val="595959"/>
          <w:sz w:val="24"/>
        </w:rPr>
        <w:t>NeuroSYNC Flexible Fund · Round 1 (2026/27) · Types A, B and C</w:t>
      </w:r>
    </w:p>
    <w:tbl>
      <w:tblPr>
        <w:tblW w:w="9411" w:type="dxa"/>
        <w:tblBorders>
          <w:top w:val="single" w:sz="4" w:space="0" w:color="EFEAF5"/>
          <w:left w:val="single" w:sz="4" w:space="0" w:color="EFEAF5"/>
          <w:bottom w:val="single" w:sz="4" w:space="0" w:color="EFEAF5"/>
          <w:right w:val="single" w:sz="4" w:space="0" w:color="EFEAF5"/>
          <w:insideH w:val="single" w:sz="4" w:space="0" w:color="EFEAF5"/>
          <w:insideV w:val="single" w:sz="4" w:space="0" w:color="EFEAF5"/>
        </w:tblBorders>
        <w:tblLayout w:type="fixed"/>
        <w:tblLook w:val="04A0" w:firstRow="1" w:lastRow="0" w:firstColumn="1" w:lastColumn="0" w:noHBand="0" w:noVBand="1"/>
      </w:tblPr>
      <w:tblGrid>
        <w:gridCol w:w="9411"/>
      </w:tblGrid>
      <w:tr w:rsidR="00DF6EA5" w14:paraId="453E8838" w14:textId="77777777">
        <w:tc>
          <w:tcPr>
            <w:tcW w:w="9411" w:type="dxa"/>
            <w:shd w:val="clear" w:color="auto" w:fill="EFEAF5"/>
          </w:tcPr>
          <w:p w14:paraId="76FBE055" w14:textId="77777777" w:rsidR="00DF6EA5" w:rsidRDefault="00FC2F98">
            <w:pPr>
              <w:spacing w:after="60"/>
            </w:pPr>
            <w:r>
              <w:rPr>
                <w:b/>
                <w:sz w:val="20"/>
              </w:rPr>
              <w:t>Call at a glance</w:t>
            </w:r>
          </w:p>
          <w:p w14:paraId="37DA0F25" w14:textId="77777777" w:rsidR="00DF6EA5" w:rsidRDefault="00FC2F98">
            <w:pPr>
              <w:spacing w:after="60"/>
            </w:pPr>
            <w:r>
              <w:rPr>
                <w:b/>
                <w:sz w:val="20"/>
              </w:rPr>
              <w:t>Funding:</w:t>
            </w:r>
            <w:r>
              <w:rPr>
                <w:sz w:val="20"/>
              </w:rPr>
              <w:t xml:space="preserve"> projects of up to £200k (Type A), £100k (Type B) or £50k (Type C) at full economic cost. NeuroSYNC pays 80%.</w:t>
            </w:r>
          </w:p>
          <w:p w14:paraId="4383D86E" w14:textId="77777777" w:rsidR="00DF6EA5" w:rsidRDefault="00FC2F98">
            <w:pPr>
              <w:spacing w:after="60"/>
            </w:pPr>
            <w:r>
              <w:rPr>
                <w:b/>
                <w:sz w:val="20"/>
              </w:rPr>
              <w:t>Who can lead:</w:t>
            </w:r>
            <w:r>
              <w:rPr>
                <w:sz w:val="20"/>
              </w:rPr>
              <w:t xml:space="preserve"> researchers at UK organisations eligible for UKRI funding, including researchers on fixed-term contracts. You do not need to be a NeuroSYNC member.</w:t>
            </w:r>
          </w:p>
          <w:p w14:paraId="3412D392" w14:textId="6D45FD4E" w:rsidR="00DF6EA5" w:rsidRDefault="00FC2F98">
            <w:pPr>
              <w:spacing w:after="60"/>
            </w:pPr>
            <w:r>
              <w:rPr>
                <w:b/>
                <w:sz w:val="20"/>
              </w:rPr>
              <w:t>Deadline:</w:t>
            </w:r>
            <w:r>
              <w:rPr>
                <w:sz w:val="20"/>
              </w:rPr>
              <w:t xml:space="preserve"> </w:t>
            </w:r>
            <w:r w:rsidRPr="000E48DA">
              <w:rPr>
                <w:sz w:val="20"/>
              </w:rPr>
              <w:t>Tuesday 1 December 2026, 16:00 UK time</w:t>
            </w:r>
          </w:p>
          <w:p w14:paraId="514B5930" w14:textId="77777777" w:rsidR="00DF6EA5" w:rsidRDefault="00FC2F98">
            <w:pPr>
              <w:spacing w:after="60"/>
            </w:pPr>
            <w:r>
              <w:rPr>
                <w:b/>
                <w:sz w:val="20"/>
              </w:rPr>
              <w:t xml:space="preserve">Projects </w:t>
            </w:r>
            <w:proofErr w:type="gramStart"/>
            <w:r>
              <w:rPr>
                <w:b/>
                <w:sz w:val="20"/>
              </w:rPr>
              <w:t>start:</w:t>
            </w:r>
            <w:proofErr w:type="gramEnd"/>
            <w:r>
              <w:rPr>
                <w:sz w:val="20"/>
              </w:rPr>
              <w:t xml:space="preserve"> between 1 February and 1 March 2027</w:t>
            </w:r>
          </w:p>
          <w:p w14:paraId="52A95569" w14:textId="77777777" w:rsidR="00DF6EA5" w:rsidRDefault="00FC2F98">
            <w:pPr>
              <w:spacing w:after="60"/>
            </w:pPr>
            <w:r>
              <w:rPr>
                <w:b/>
                <w:sz w:val="20"/>
              </w:rPr>
              <w:t>Contact:</w:t>
            </w:r>
            <w:r>
              <w:rPr>
                <w:sz w:val="20"/>
              </w:rPr>
              <w:t xml:space="preserve"> neuromorphic@aston.ac.uk</w:t>
            </w:r>
          </w:p>
        </w:tc>
      </w:tr>
    </w:tbl>
    <w:p w14:paraId="0AFC957A" w14:textId="77777777" w:rsidR="00DF6EA5" w:rsidRDefault="00DF6EA5">
      <w:pPr>
        <w:spacing w:after="40"/>
      </w:pPr>
    </w:p>
    <w:p w14:paraId="16FF2797" w14:textId="77777777" w:rsidR="00DF6EA5" w:rsidRDefault="00FC2F98">
      <w:pPr>
        <w:pStyle w:val="Heading1"/>
      </w:pPr>
      <w:r>
        <w:t>1. About NeuroSYNC</w:t>
      </w:r>
    </w:p>
    <w:p w14:paraId="559E7D28" w14:textId="77777777" w:rsidR="00DF6EA5" w:rsidRDefault="00FC2F98">
      <w:r>
        <w:t>NeuroSYNC – UK Multidisciplinary Centre for Neuromorphic Systems and Computing is funded by the Engineering and Physical Sciences Research Council (EPSRC) and led by Aston University with six partner universities: Cambridge, Loughborough, Oxford, Queen Mary University of London, Southampton and Strathclyde. The Centre works on brain-inspired, energy-efficient computing, from living human neurons and new materials to photonic and electronic hardware, algorithms and systems.</w:t>
      </w:r>
    </w:p>
    <w:p w14:paraId="3C34554D" w14:textId="77777777" w:rsidR="00DF6EA5" w:rsidRDefault="00FC2F98">
      <w:pPr>
        <w:pStyle w:val="Heading1"/>
      </w:pPr>
      <w:r>
        <w:t>2. About the Flexible Fund</w:t>
      </w:r>
    </w:p>
    <w:p w14:paraId="3EB948C9" w14:textId="77777777" w:rsidR="00DF6EA5" w:rsidRDefault="00FC2F98">
      <w:r>
        <w:t>The Flexible Fund is £2 million within NeuroSYNC's EPSRC award. It pays for research that widens the Centre's programme: new partnerships, interdisciplinary ideas and high-risk, high-reward projects that address the challenges in the NeuroSYNC roadmap.</w:t>
      </w:r>
    </w:p>
    <w:p w14:paraId="652A0A61" w14:textId="77777777" w:rsidR="00DF6EA5" w:rsidRDefault="00FC2F98">
      <w:r>
        <w:t>The fund has three aims:</w:t>
      </w:r>
    </w:p>
    <w:p w14:paraId="18DD1065" w14:textId="77777777" w:rsidR="00DF6EA5" w:rsidRDefault="00FC2F98">
      <w:pPr>
        <w:pStyle w:val="ListBullet"/>
        <w:spacing w:after="60"/>
      </w:pPr>
      <w:r>
        <w:rPr>
          <w:b/>
        </w:rPr>
        <w:t>Innovation:</w:t>
      </w:r>
      <w:r>
        <w:t xml:space="preserve"> support high-risk, high-reward research on the roadmap challenges, including ideas that are too early or too risky for standard research funding.</w:t>
      </w:r>
    </w:p>
    <w:p w14:paraId="73CAAE68" w14:textId="77777777" w:rsidR="00DF6EA5" w:rsidRDefault="00FC2F98">
      <w:pPr>
        <w:pStyle w:val="ListBullet"/>
        <w:spacing w:after="60"/>
      </w:pPr>
      <w:r>
        <w:rPr>
          <w:b/>
        </w:rPr>
        <w:t>Collaboration:</w:t>
      </w:r>
      <w:r>
        <w:t xml:space="preserve"> start new collaborations between NeuroSYNC groups and researchers outside the Centre, particularly across computer science, neuroscience, materials, electronics and photonics, and build links between projects.</w:t>
      </w:r>
    </w:p>
    <w:p w14:paraId="4191C311" w14:textId="77777777" w:rsidR="00DF6EA5" w:rsidRDefault="00FC2F98">
      <w:pPr>
        <w:pStyle w:val="ListBullet"/>
        <w:spacing w:after="60"/>
      </w:pPr>
      <w:r>
        <w:rPr>
          <w:b/>
        </w:rPr>
        <w:t>Impact:</w:t>
      </w:r>
      <w:r>
        <w:t xml:space="preserve"> work towards applications identified by industry and by the Centre's Industrial Advisory Board.</w:t>
      </w:r>
    </w:p>
    <w:p w14:paraId="0FF5439D" w14:textId="77777777" w:rsidR="00DF6EA5" w:rsidRDefault="00FC2F98">
      <w:r>
        <w:t>Throughout, we want to give early-career researchers the chance to lead their own projects.</w:t>
      </w:r>
    </w:p>
    <w:p w14:paraId="4F2F88BE" w14:textId="72C42AD6" w:rsidR="00DF6EA5" w:rsidRDefault="00FC2F98">
      <w:r>
        <w:t xml:space="preserve">There will be two competitive rounds. Round 1 (this call) funds all three project types. Round 2 is expected to open in autumn 2027 and will fund Types B and C only. All Type A projects are funded in Round 1 so that they can run for 24 months within the life of the Centre. All projects, in both rounds, must finish </w:t>
      </w:r>
      <w:r w:rsidRPr="000E48DA">
        <w:t>by 30 April 2029, before the</w:t>
      </w:r>
      <w:r>
        <w:t xml:space="preserve"> Centre's grant ends on 31 May 2029. If your Round 1 application is not funded, you may revise it and apply to Round 2 as a Type B or C project. </w:t>
      </w:r>
    </w:p>
    <w:p w14:paraId="6D9DCF64" w14:textId="77777777" w:rsidR="00DF6EA5" w:rsidRDefault="00FC2F98">
      <w:pPr>
        <w:pStyle w:val="Heading1"/>
      </w:pPr>
      <w:r>
        <w:t>3. What we want to fund</w:t>
      </w:r>
    </w:p>
    <w:p w14:paraId="5A2A1E85" w14:textId="2ECA3D54" w:rsidR="00DF6EA5" w:rsidRDefault="00FC2F98">
      <w:r>
        <w:t xml:space="preserve">NeuroSYNC is developing a roadmap for neuromorphic computing in the UK with researchers, industry and end users. Through this work we have identified six challenges that stand between </w:t>
      </w:r>
      <w:r>
        <w:lastRenderedPageBreak/>
        <w:t>promising laboratory results and computing that people can use. We want projects that tackle at least one of them.</w:t>
      </w:r>
    </w:p>
    <w:tbl>
      <w:tblPr>
        <w:tblW w:w="9411" w:type="dxa"/>
        <w:jc w:val="center"/>
        <w:tblBorders>
          <w:top w:val="single" w:sz="4" w:space="0" w:color="BFB3D1"/>
          <w:left w:val="single" w:sz="4" w:space="0" w:color="BFB3D1"/>
          <w:bottom w:val="single" w:sz="4" w:space="0" w:color="BFB3D1"/>
          <w:right w:val="single" w:sz="4" w:space="0" w:color="BFB3D1"/>
          <w:insideH w:val="single" w:sz="4" w:space="0" w:color="BFB3D1"/>
          <w:insideV w:val="single" w:sz="4" w:space="0" w:color="BFB3D1"/>
        </w:tblBorders>
        <w:tblLayout w:type="fixed"/>
        <w:tblLook w:val="04A0" w:firstRow="1" w:lastRow="0" w:firstColumn="1" w:lastColumn="0" w:noHBand="0" w:noVBand="1"/>
      </w:tblPr>
      <w:tblGrid>
        <w:gridCol w:w="2388"/>
        <w:gridCol w:w="7023"/>
      </w:tblGrid>
      <w:tr w:rsidR="00DF6EA5" w14:paraId="2E8F4B3B" w14:textId="77777777">
        <w:trPr>
          <w:jc w:val="center"/>
        </w:trPr>
        <w:tc>
          <w:tcPr>
            <w:tcW w:w="2388" w:type="dxa"/>
            <w:shd w:val="clear" w:color="auto" w:fill="5B2D90"/>
          </w:tcPr>
          <w:p w14:paraId="1CE1C370" w14:textId="77777777" w:rsidR="00DF6EA5" w:rsidRDefault="00FC2F98">
            <w:pPr>
              <w:spacing w:after="40"/>
            </w:pPr>
            <w:r>
              <w:rPr>
                <w:b/>
                <w:color w:val="FFFFFF"/>
                <w:sz w:val="19"/>
              </w:rPr>
              <w:t>Challenge</w:t>
            </w:r>
          </w:p>
        </w:tc>
        <w:tc>
          <w:tcPr>
            <w:tcW w:w="7022" w:type="dxa"/>
            <w:shd w:val="clear" w:color="auto" w:fill="5B2D90"/>
          </w:tcPr>
          <w:p w14:paraId="1C13617A" w14:textId="77777777" w:rsidR="00DF6EA5" w:rsidRDefault="00FC2F98">
            <w:pPr>
              <w:spacing w:after="40"/>
            </w:pPr>
            <w:r>
              <w:rPr>
                <w:b/>
                <w:color w:val="FFFFFF"/>
                <w:sz w:val="19"/>
              </w:rPr>
              <w:t>What it means for research</w:t>
            </w:r>
          </w:p>
        </w:tc>
      </w:tr>
      <w:tr w:rsidR="00DF6EA5" w14:paraId="2ED1C977" w14:textId="77777777">
        <w:trPr>
          <w:jc w:val="center"/>
        </w:trPr>
        <w:tc>
          <w:tcPr>
            <w:tcW w:w="2388" w:type="dxa"/>
          </w:tcPr>
          <w:p w14:paraId="4A45DBF7" w14:textId="77777777" w:rsidR="00DF6EA5" w:rsidRDefault="00FC2F98">
            <w:pPr>
              <w:spacing w:after="40"/>
            </w:pPr>
            <w:r>
              <w:rPr>
                <w:sz w:val="19"/>
              </w:rPr>
              <w:t>1. Energy efficiency at system level</w:t>
            </w:r>
          </w:p>
        </w:tc>
        <w:tc>
          <w:tcPr>
            <w:tcW w:w="7022" w:type="dxa"/>
          </w:tcPr>
          <w:p w14:paraId="75148225" w14:textId="77777777" w:rsidR="00DF6EA5" w:rsidRDefault="00FC2F98">
            <w:pPr>
              <w:spacing w:after="40"/>
            </w:pPr>
            <w:r>
              <w:rPr>
                <w:sz w:val="19"/>
              </w:rPr>
              <w:t>Showing that energy savings survive once memory, data conversion, control and cooling are counted, not only at the level of a single device</w:t>
            </w:r>
          </w:p>
        </w:tc>
      </w:tr>
      <w:tr w:rsidR="00DF6EA5" w14:paraId="6DE1FA29" w14:textId="77777777">
        <w:trPr>
          <w:jc w:val="center"/>
        </w:trPr>
        <w:tc>
          <w:tcPr>
            <w:tcW w:w="2388" w:type="dxa"/>
            <w:shd w:val="clear" w:color="auto" w:fill="F7F5FA"/>
          </w:tcPr>
          <w:p w14:paraId="412AB605" w14:textId="77777777" w:rsidR="00DF6EA5" w:rsidRDefault="00FC2F98">
            <w:pPr>
              <w:spacing w:after="40"/>
            </w:pPr>
            <w:r>
              <w:rPr>
                <w:sz w:val="19"/>
              </w:rPr>
              <w:t>2. Working with today's AI</w:t>
            </w:r>
          </w:p>
        </w:tc>
        <w:tc>
          <w:tcPr>
            <w:tcW w:w="7022" w:type="dxa"/>
            <w:shd w:val="clear" w:color="auto" w:fill="F7F5FA"/>
          </w:tcPr>
          <w:p w14:paraId="1E95A4DA" w14:textId="77777777" w:rsidR="00DF6EA5" w:rsidRDefault="00FC2F98">
            <w:pPr>
              <w:spacing w:after="40"/>
            </w:pPr>
            <w:r>
              <w:rPr>
                <w:sz w:val="19"/>
              </w:rPr>
              <w:t>Algorithms, training methods and software that connect new hardware with mainstream AI models and tools</w:t>
            </w:r>
          </w:p>
        </w:tc>
      </w:tr>
      <w:tr w:rsidR="00DF6EA5" w14:paraId="5EC0AD3C" w14:textId="77777777">
        <w:trPr>
          <w:jc w:val="center"/>
        </w:trPr>
        <w:tc>
          <w:tcPr>
            <w:tcW w:w="2388" w:type="dxa"/>
          </w:tcPr>
          <w:p w14:paraId="1146F53A" w14:textId="77777777" w:rsidR="00DF6EA5" w:rsidRDefault="00FC2F98">
            <w:pPr>
              <w:spacing w:after="40"/>
            </w:pPr>
            <w:r>
              <w:rPr>
                <w:sz w:val="19"/>
              </w:rPr>
              <w:t>3. Integration with digital infrastructure</w:t>
            </w:r>
          </w:p>
        </w:tc>
        <w:tc>
          <w:tcPr>
            <w:tcW w:w="7022" w:type="dxa"/>
          </w:tcPr>
          <w:p w14:paraId="6A3A6EFC" w14:textId="77777777" w:rsidR="00DF6EA5" w:rsidRDefault="00FC2F98">
            <w:pPr>
              <w:spacing w:after="40"/>
            </w:pPr>
            <w:r>
              <w:rPr>
                <w:sz w:val="19"/>
              </w:rPr>
              <w:t>Interfaces, reliability and security needed to run neuromorphic hardware alongside conventional computers and in data centres</w:t>
            </w:r>
          </w:p>
        </w:tc>
      </w:tr>
      <w:tr w:rsidR="00DF6EA5" w14:paraId="33868A7D" w14:textId="77777777">
        <w:trPr>
          <w:jc w:val="center"/>
        </w:trPr>
        <w:tc>
          <w:tcPr>
            <w:tcW w:w="2388" w:type="dxa"/>
            <w:shd w:val="clear" w:color="auto" w:fill="F7F5FA"/>
          </w:tcPr>
          <w:p w14:paraId="20C2C206" w14:textId="77777777" w:rsidR="00DF6EA5" w:rsidRDefault="00FC2F98">
            <w:pPr>
              <w:spacing w:after="40"/>
            </w:pPr>
            <w:r>
              <w:rPr>
                <w:sz w:val="19"/>
              </w:rPr>
              <w:t>4. Scale and manufacturability</w:t>
            </w:r>
          </w:p>
        </w:tc>
        <w:tc>
          <w:tcPr>
            <w:tcW w:w="7022" w:type="dxa"/>
            <w:shd w:val="clear" w:color="auto" w:fill="F7F5FA"/>
          </w:tcPr>
          <w:p w14:paraId="6A9A10E1" w14:textId="77777777" w:rsidR="00DF6EA5" w:rsidRDefault="00FC2F98">
            <w:pPr>
              <w:spacing w:after="40"/>
            </w:pPr>
            <w:r>
              <w:rPr>
                <w:sz w:val="19"/>
              </w:rPr>
              <w:t>Materials, devices and circuits that are reproducible, programmable and can be made at scale</w:t>
            </w:r>
          </w:p>
        </w:tc>
      </w:tr>
      <w:tr w:rsidR="00DF6EA5" w14:paraId="39C7D234" w14:textId="77777777">
        <w:trPr>
          <w:jc w:val="center"/>
        </w:trPr>
        <w:tc>
          <w:tcPr>
            <w:tcW w:w="2388" w:type="dxa"/>
          </w:tcPr>
          <w:p w14:paraId="4B7BB5D3" w14:textId="77777777" w:rsidR="00DF6EA5" w:rsidRDefault="00FC2F98">
            <w:pPr>
              <w:spacing w:after="40"/>
            </w:pPr>
            <w:r>
              <w:rPr>
                <w:sz w:val="19"/>
              </w:rPr>
              <w:t>5. Carbon savings</w:t>
            </w:r>
          </w:p>
        </w:tc>
        <w:tc>
          <w:tcPr>
            <w:tcW w:w="7022" w:type="dxa"/>
          </w:tcPr>
          <w:p w14:paraId="63FB4661" w14:textId="77777777" w:rsidR="00DF6EA5" w:rsidRDefault="00FC2F98">
            <w:pPr>
              <w:spacing w:after="40"/>
            </w:pPr>
            <w:r>
              <w:rPr>
                <w:sz w:val="19"/>
              </w:rPr>
              <w:t>Measuring and modelling energy use and emissions over the whole life of a system, and benchmarking against conventional computing</w:t>
            </w:r>
          </w:p>
        </w:tc>
      </w:tr>
      <w:tr w:rsidR="00DF6EA5" w14:paraId="0760A409" w14:textId="77777777">
        <w:trPr>
          <w:jc w:val="center"/>
        </w:trPr>
        <w:tc>
          <w:tcPr>
            <w:tcW w:w="2388" w:type="dxa"/>
            <w:shd w:val="clear" w:color="auto" w:fill="F7F5FA"/>
          </w:tcPr>
          <w:p w14:paraId="41D7DBFF" w14:textId="77777777" w:rsidR="00DF6EA5" w:rsidRDefault="00FC2F98">
            <w:pPr>
              <w:spacing w:after="40"/>
            </w:pPr>
            <w:r>
              <w:rPr>
                <w:sz w:val="19"/>
              </w:rPr>
              <w:t>6. Routes to adoption</w:t>
            </w:r>
          </w:p>
        </w:tc>
        <w:tc>
          <w:tcPr>
            <w:tcW w:w="7022" w:type="dxa"/>
            <w:shd w:val="clear" w:color="auto" w:fill="F7F5FA"/>
          </w:tcPr>
          <w:p w14:paraId="111FADF1" w14:textId="77777777" w:rsidR="00DF6EA5" w:rsidRDefault="00FC2F98">
            <w:pPr>
              <w:spacing w:after="40"/>
            </w:pPr>
            <w:r>
              <w:rPr>
                <w:sz w:val="19"/>
              </w:rPr>
              <w:t>Benchmarks, shared definitions and application cases that show where neuromorphic computing gives a clear advantage</w:t>
            </w:r>
          </w:p>
        </w:tc>
      </w:tr>
    </w:tbl>
    <w:p w14:paraId="2181AA90" w14:textId="77777777" w:rsidR="00DF6EA5" w:rsidRDefault="00DF6EA5">
      <w:pPr>
        <w:spacing w:after="40"/>
      </w:pPr>
    </w:p>
    <w:p w14:paraId="0679201F" w14:textId="77777777" w:rsidR="00DF6EA5" w:rsidRDefault="00FC2F98">
      <w:r>
        <w:t>Projects can come from any of the six research areas of the roadmap: concepts and co-design across the stack; neuroscience foundations (including human neuronal networks and organoids); algorithms and architectures; materials, devices and integration; electronics (CMOS and beyond-CMOS); and photonics and optoelectronics. Industry has told us where it sees the strongest pull: edge AI and sensing; telecoms, optical networks and data centres; robotics and autonomy; optimisation for logistics, energy and finance; healthcare and biosensing; and manufacturing and inspection. You do not need to name an application area, but it helps reviewers judge impact.</w:t>
      </w:r>
    </w:p>
    <w:p w14:paraId="6FD1F583" w14:textId="77777777" w:rsidR="00DF6EA5" w:rsidRDefault="00FC2F98">
      <w:r>
        <w:t>We also welcome strong ideas outside these challenges if they clearly advance neuromorphic systems and computing.</w:t>
      </w:r>
    </w:p>
    <w:p w14:paraId="64C4A1E4" w14:textId="77777777" w:rsidR="00DF6EA5" w:rsidRDefault="00FC2F98">
      <w:r>
        <w:rPr>
          <w:b/>
        </w:rPr>
        <w:t>Scope.</w:t>
      </w:r>
      <w:r>
        <w:t xml:space="preserve"> We welcome research at every stage, from fundamental science to proof of concept, and from any discipline that can advance neuromorphic computing, including neuroscience and biology. Projects must:</w:t>
      </w:r>
    </w:p>
    <w:p w14:paraId="6683990B" w14:textId="77777777" w:rsidR="00DF6EA5" w:rsidRDefault="00FC2F98">
      <w:pPr>
        <w:pStyle w:val="ListBullet"/>
        <w:spacing w:after="60"/>
      </w:pPr>
      <w:r>
        <w:t>deliver results within the life of the Centre;</w:t>
      </w:r>
    </w:p>
    <w:p w14:paraId="61932671" w14:textId="77777777" w:rsidR="00DF6EA5" w:rsidRDefault="00FC2F98">
      <w:pPr>
        <w:pStyle w:val="ListBullet"/>
        <w:spacing w:after="60"/>
      </w:pPr>
      <w:r>
        <w:t>go beyond the work already funded by the NeuroSYNC grant or other awards.</w:t>
      </w:r>
    </w:p>
    <w:p w14:paraId="6536A905" w14:textId="77777777" w:rsidR="00DF6EA5" w:rsidRDefault="00FC2F98">
      <w:r>
        <w:t>We will not fund:</w:t>
      </w:r>
    </w:p>
    <w:p w14:paraId="7CFF1B33" w14:textId="77777777" w:rsidR="00DF6EA5" w:rsidRDefault="00FC2F98">
      <w:pPr>
        <w:pStyle w:val="ListBullet"/>
        <w:spacing w:after="60"/>
      </w:pPr>
      <w:r>
        <w:t>work that repeats or simply continues a project already funded by NeuroSYNC or another award;</w:t>
      </w:r>
    </w:p>
    <w:p w14:paraId="61C3736E" w14:textId="77777777" w:rsidR="00DF6EA5" w:rsidRDefault="00FC2F98">
      <w:pPr>
        <w:pStyle w:val="ListBullet"/>
        <w:spacing w:after="60"/>
      </w:pPr>
      <w:r>
        <w:t>networking, events or travel that are not part of a research project;</w:t>
      </w:r>
    </w:p>
    <w:p w14:paraId="22301F33" w14:textId="77777777" w:rsidR="00DF6EA5" w:rsidRDefault="00FC2F98">
      <w:pPr>
        <w:pStyle w:val="ListBullet"/>
        <w:spacing w:after="60"/>
      </w:pPr>
      <w:r>
        <w:t>routine equipment purchases or facility upgrades;</w:t>
      </w:r>
    </w:p>
    <w:p w14:paraId="2B29B202" w14:textId="77777777" w:rsidR="00DF6EA5" w:rsidRDefault="00FC2F98">
      <w:pPr>
        <w:pStyle w:val="ListBullet"/>
        <w:spacing w:after="60"/>
      </w:pPr>
      <w:r>
        <w:t>commercialisation or product development, which the EPSRC call that funds the Centre does not allow;</w:t>
      </w:r>
    </w:p>
    <w:p w14:paraId="799EBF54" w14:textId="77777777" w:rsidR="00DF6EA5" w:rsidRDefault="00FC2F98">
      <w:pPr>
        <w:pStyle w:val="ListBullet"/>
        <w:spacing w:after="60"/>
      </w:pPr>
      <w:r>
        <w:t>projects whose main benefit would fall outside the UK;</w:t>
      </w:r>
    </w:p>
    <w:p w14:paraId="5A1EFA17" w14:textId="77777777" w:rsidR="00DF6EA5" w:rsidRDefault="00FC2F98">
      <w:pPr>
        <w:pStyle w:val="ListBullet"/>
        <w:spacing w:after="60"/>
      </w:pPr>
      <w:r>
        <w:t>projects with ethical, security or export-control risks that the applicants cannot show how to manage.</w:t>
      </w:r>
    </w:p>
    <w:p w14:paraId="716D38DE" w14:textId="77777777" w:rsidR="00DF6EA5" w:rsidRDefault="00FC2F98">
      <w:pPr>
        <w:pStyle w:val="Heading1"/>
      </w:pPr>
      <w:r>
        <w:t>4. Funding available in Round 1</w:t>
      </w:r>
    </w:p>
    <w:tbl>
      <w:tblPr>
        <w:tblW w:w="9411" w:type="dxa"/>
        <w:jc w:val="center"/>
        <w:tblBorders>
          <w:top w:val="single" w:sz="4" w:space="0" w:color="BFB3D1"/>
          <w:left w:val="single" w:sz="4" w:space="0" w:color="BFB3D1"/>
          <w:bottom w:val="single" w:sz="4" w:space="0" w:color="BFB3D1"/>
          <w:right w:val="single" w:sz="4" w:space="0" w:color="BFB3D1"/>
          <w:insideH w:val="single" w:sz="4" w:space="0" w:color="BFB3D1"/>
          <w:insideV w:val="single" w:sz="4" w:space="0" w:color="BFB3D1"/>
        </w:tblBorders>
        <w:tblLayout w:type="fixed"/>
        <w:tblLook w:val="04A0" w:firstRow="1" w:lastRow="0" w:firstColumn="1" w:lastColumn="0" w:noHBand="0" w:noVBand="1"/>
      </w:tblPr>
      <w:tblGrid>
        <w:gridCol w:w="1428"/>
        <w:gridCol w:w="4316"/>
        <w:gridCol w:w="1394"/>
        <w:gridCol w:w="1079"/>
        <w:gridCol w:w="1194"/>
      </w:tblGrid>
      <w:tr w:rsidR="00DF6EA5" w14:paraId="18D8D21E" w14:textId="77777777">
        <w:trPr>
          <w:jc w:val="center"/>
        </w:trPr>
        <w:tc>
          <w:tcPr>
            <w:tcW w:w="1427" w:type="dxa"/>
            <w:shd w:val="clear" w:color="auto" w:fill="5B2D90"/>
          </w:tcPr>
          <w:p w14:paraId="062B87CD" w14:textId="77777777" w:rsidR="00DF6EA5" w:rsidRDefault="00FC2F98">
            <w:pPr>
              <w:spacing w:after="40"/>
            </w:pPr>
            <w:r>
              <w:rPr>
                <w:b/>
                <w:color w:val="FFFFFF"/>
                <w:sz w:val="19"/>
              </w:rPr>
              <w:t>Type</w:t>
            </w:r>
          </w:p>
        </w:tc>
        <w:tc>
          <w:tcPr>
            <w:tcW w:w="4315" w:type="dxa"/>
            <w:shd w:val="clear" w:color="auto" w:fill="5B2D90"/>
          </w:tcPr>
          <w:p w14:paraId="4F056D35" w14:textId="77777777" w:rsidR="00DF6EA5" w:rsidRDefault="00FC2F98">
            <w:pPr>
              <w:spacing w:after="40"/>
            </w:pPr>
            <w:r>
              <w:rPr>
                <w:b/>
                <w:color w:val="FFFFFF"/>
                <w:sz w:val="19"/>
              </w:rPr>
              <w:t>What it is for</w:t>
            </w:r>
          </w:p>
        </w:tc>
        <w:tc>
          <w:tcPr>
            <w:tcW w:w="1394" w:type="dxa"/>
            <w:shd w:val="clear" w:color="auto" w:fill="5B2D90"/>
          </w:tcPr>
          <w:p w14:paraId="1E3B6AC4" w14:textId="77777777" w:rsidR="00DF6EA5" w:rsidRDefault="00FC2F98">
            <w:pPr>
              <w:spacing w:after="40"/>
            </w:pPr>
            <w:r>
              <w:rPr>
                <w:b/>
                <w:color w:val="FFFFFF"/>
                <w:sz w:val="19"/>
              </w:rPr>
              <w:t>Maximum value (full economic cost)</w:t>
            </w:r>
          </w:p>
        </w:tc>
        <w:tc>
          <w:tcPr>
            <w:tcW w:w="1079" w:type="dxa"/>
            <w:shd w:val="clear" w:color="auto" w:fill="5B2D90"/>
          </w:tcPr>
          <w:p w14:paraId="687B92E1" w14:textId="77777777" w:rsidR="00DF6EA5" w:rsidRDefault="00FC2F98">
            <w:pPr>
              <w:spacing w:after="40"/>
            </w:pPr>
            <w:r>
              <w:rPr>
                <w:b/>
                <w:color w:val="FFFFFF"/>
                <w:sz w:val="19"/>
              </w:rPr>
              <w:t>Duration</w:t>
            </w:r>
          </w:p>
        </w:tc>
        <w:tc>
          <w:tcPr>
            <w:tcW w:w="1194" w:type="dxa"/>
            <w:shd w:val="clear" w:color="auto" w:fill="5B2D90"/>
          </w:tcPr>
          <w:p w14:paraId="67BEABFC" w14:textId="77777777" w:rsidR="00DF6EA5" w:rsidRDefault="00FC2F98">
            <w:pPr>
              <w:spacing w:after="40"/>
            </w:pPr>
            <w:r>
              <w:rPr>
                <w:b/>
                <w:color w:val="FFFFFF"/>
                <w:sz w:val="19"/>
              </w:rPr>
              <w:t>Indicative awards in Round 1</w:t>
            </w:r>
          </w:p>
        </w:tc>
      </w:tr>
      <w:tr w:rsidR="00DF6EA5" w14:paraId="62FE8AB4" w14:textId="77777777">
        <w:trPr>
          <w:jc w:val="center"/>
        </w:trPr>
        <w:tc>
          <w:tcPr>
            <w:tcW w:w="1427" w:type="dxa"/>
          </w:tcPr>
          <w:p w14:paraId="51018E22" w14:textId="77777777" w:rsidR="00DF6EA5" w:rsidRDefault="00FC2F98">
            <w:pPr>
              <w:spacing w:after="40"/>
            </w:pPr>
            <w:r>
              <w:rPr>
                <w:sz w:val="19"/>
              </w:rPr>
              <w:t xml:space="preserve">A. Interdisciplinary </w:t>
            </w:r>
            <w:r>
              <w:rPr>
                <w:sz w:val="19"/>
              </w:rPr>
              <w:lastRenderedPageBreak/>
              <w:t>collaborations</w:t>
            </w:r>
          </w:p>
        </w:tc>
        <w:tc>
          <w:tcPr>
            <w:tcW w:w="4315" w:type="dxa"/>
          </w:tcPr>
          <w:p w14:paraId="43B681E6" w14:textId="77777777" w:rsidR="00DF6EA5" w:rsidRDefault="00FC2F98">
            <w:pPr>
              <w:spacing w:after="40"/>
            </w:pPr>
            <w:r>
              <w:rPr>
                <w:sz w:val="19"/>
              </w:rPr>
              <w:lastRenderedPageBreak/>
              <w:t xml:space="preserve">A new collaboration across disciplines and organisations, large enough to employ a </w:t>
            </w:r>
            <w:r>
              <w:rPr>
                <w:sz w:val="19"/>
              </w:rPr>
              <w:lastRenderedPageBreak/>
              <w:t>research associate for the full project</w:t>
            </w:r>
          </w:p>
        </w:tc>
        <w:tc>
          <w:tcPr>
            <w:tcW w:w="1394" w:type="dxa"/>
          </w:tcPr>
          <w:p w14:paraId="4BA21C56" w14:textId="77777777" w:rsidR="00DF6EA5" w:rsidRDefault="00FC2F98">
            <w:pPr>
              <w:spacing w:after="40"/>
            </w:pPr>
            <w:r>
              <w:rPr>
                <w:sz w:val="19"/>
              </w:rPr>
              <w:lastRenderedPageBreak/>
              <w:t>£200k</w:t>
            </w:r>
          </w:p>
        </w:tc>
        <w:tc>
          <w:tcPr>
            <w:tcW w:w="1079" w:type="dxa"/>
          </w:tcPr>
          <w:p w14:paraId="2525E988" w14:textId="77777777" w:rsidR="00DF6EA5" w:rsidRDefault="00FC2F98">
            <w:pPr>
              <w:spacing w:after="40"/>
            </w:pPr>
            <w:r>
              <w:rPr>
                <w:sz w:val="19"/>
              </w:rPr>
              <w:t>24 months</w:t>
            </w:r>
          </w:p>
        </w:tc>
        <w:tc>
          <w:tcPr>
            <w:tcW w:w="1194" w:type="dxa"/>
          </w:tcPr>
          <w:p w14:paraId="3A7CDB87" w14:textId="77777777" w:rsidR="00DF6EA5" w:rsidRDefault="00FC2F98">
            <w:pPr>
              <w:spacing w:after="40"/>
            </w:pPr>
            <w:r>
              <w:rPr>
                <w:sz w:val="19"/>
              </w:rPr>
              <w:t>Up to 5</w:t>
            </w:r>
          </w:p>
        </w:tc>
      </w:tr>
      <w:tr w:rsidR="00DF6EA5" w14:paraId="707891B3" w14:textId="77777777">
        <w:trPr>
          <w:jc w:val="center"/>
        </w:trPr>
        <w:tc>
          <w:tcPr>
            <w:tcW w:w="1427" w:type="dxa"/>
            <w:shd w:val="clear" w:color="auto" w:fill="F7F5FA"/>
          </w:tcPr>
          <w:p w14:paraId="5A1C123A" w14:textId="77777777" w:rsidR="00DF6EA5" w:rsidRDefault="00FC2F98">
            <w:pPr>
              <w:spacing w:after="40"/>
            </w:pPr>
            <w:r>
              <w:rPr>
                <w:sz w:val="19"/>
              </w:rPr>
              <w:t>B. Exploratory projects</w:t>
            </w:r>
          </w:p>
        </w:tc>
        <w:tc>
          <w:tcPr>
            <w:tcW w:w="4315" w:type="dxa"/>
            <w:shd w:val="clear" w:color="auto" w:fill="F7F5FA"/>
          </w:tcPr>
          <w:p w14:paraId="01F4180F" w14:textId="77777777" w:rsidR="00DF6EA5" w:rsidRDefault="00FC2F98">
            <w:pPr>
              <w:spacing w:after="40"/>
            </w:pPr>
            <w:r>
              <w:rPr>
                <w:sz w:val="19"/>
              </w:rPr>
              <w:t>Smaller, high-risk projects that open a new research direction or test a new method, material or architecture</w:t>
            </w:r>
          </w:p>
        </w:tc>
        <w:tc>
          <w:tcPr>
            <w:tcW w:w="1394" w:type="dxa"/>
            <w:shd w:val="clear" w:color="auto" w:fill="F7F5FA"/>
          </w:tcPr>
          <w:p w14:paraId="0C4BBAE3" w14:textId="77777777" w:rsidR="00DF6EA5" w:rsidRDefault="00FC2F98">
            <w:pPr>
              <w:spacing w:after="40"/>
            </w:pPr>
            <w:r>
              <w:rPr>
                <w:sz w:val="19"/>
              </w:rPr>
              <w:t>£100k</w:t>
            </w:r>
          </w:p>
        </w:tc>
        <w:tc>
          <w:tcPr>
            <w:tcW w:w="1079" w:type="dxa"/>
            <w:shd w:val="clear" w:color="auto" w:fill="F7F5FA"/>
          </w:tcPr>
          <w:p w14:paraId="504D5C3A" w14:textId="77777777" w:rsidR="00DF6EA5" w:rsidRDefault="00FC2F98">
            <w:pPr>
              <w:spacing w:after="40"/>
            </w:pPr>
            <w:r>
              <w:rPr>
                <w:sz w:val="19"/>
              </w:rPr>
              <w:t>18–24 months</w:t>
            </w:r>
          </w:p>
        </w:tc>
        <w:tc>
          <w:tcPr>
            <w:tcW w:w="1194" w:type="dxa"/>
            <w:shd w:val="clear" w:color="auto" w:fill="F7F5FA"/>
          </w:tcPr>
          <w:p w14:paraId="42D7EBA9" w14:textId="77777777" w:rsidR="00DF6EA5" w:rsidRDefault="00FC2F98">
            <w:pPr>
              <w:spacing w:after="40"/>
            </w:pPr>
            <w:r>
              <w:rPr>
                <w:sz w:val="19"/>
              </w:rPr>
              <w:t>About 3</w:t>
            </w:r>
          </w:p>
        </w:tc>
      </w:tr>
      <w:tr w:rsidR="00DF6EA5" w14:paraId="64411CBF" w14:textId="77777777">
        <w:trPr>
          <w:jc w:val="center"/>
        </w:trPr>
        <w:tc>
          <w:tcPr>
            <w:tcW w:w="1427" w:type="dxa"/>
          </w:tcPr>
          <w:p w14:paraId="5C7A8207" w14:textId="77777777" w:rsidR="00DF6EA5" w:rsidRDefault="00FC2F98">
            <w:pPr>
              <w:spacing w:after="40"/>
            </w:pPr>
            <w:r>
              <w:rPr>
                <w:sz w:val="19"/>
              </w:rPr>
              <w:t>C. Feasibility studies</w:t>
            </w:r>
          </w:p>
        </w:tc>
        <w:tc>
          <w:tcPr>
            <w:tcW w:w="4315" w:type="dxa"/>
          </w:tcPr>
          <w:p w14:paraId="62DB2613" w14:textId="77777777" w:rsidR="00DF6EA5" w:rsidRDefault="00FC2F98">
            <w:pPr>
              <w:spacing w:after="40"/>
            </w:pPr>
            <w:r>
              <w:rPr>
                <w:sz w:val="19"/>
              </w:rPr>
              <w:t>A quick test of a promising idea, to produce the evidence for a larger bid</w:t>
            </w:r>
          </w:p>
        </w:tc>
        <w:tc>
          <w:tcPr>
            <w:tcW w:w="1394" w:type="dxa"/>
          </w:tcPr>
          <w:p w14:paraId="0C509773" w14:textId="77777777" w:rsidR="00DF6EA5" w:rsidRDefault="00FC2F98">
            <w:pPr>
              <w:spacing w:after="40"/>
            </w:pPr>
            <w:r>
              <w:rPr>
                <w:sz w:val="19"/>
              </w:rPr>
              <w:t>£50k</w:t>
            </w:r>
          </w:p>
        </w:tc>
        <w:tc>
          <w:tcPr>
            <w:tcW w:w="1079" w:type="dxa"/>
          </w:tcPr>
          <w:p w14:paraId="0ACEC383" w14:textId="77777777" w:rsidR="00DF6EA5" w:rsidRDefault="00FC2F98">
            <w:pPr>
              <w:spacing w:after="40"/>
            </w:pPr>
            <w:r>
              <w:rPr>
                <w:sz w:val="19"/>
              </w:rPr>
              <w:t>12 months</w:t>
            </w:r>
          </w:p>
        </w:tc>
        <w:tc>
          <w:tcPr>
            <w:tcW w:w="1194" w:type="dxa"/>
          </w:tcPr>
          <w:p w14:paraId="392F3CED" w14:textId="77777777" w:rsidR="00DF6EA5" w:rsidRDefault="00FC2F98">
            <w:pPr>
              <w:spacing w:after="40"/>
            </w:pPr>
            <w:r>
              <w:rPr>
                <w:sz w:val="19"/>
              </w:rPr>
              <w:t>About 4</w:t>
            </w:r>
          </w:p>
        </w:tc>
      </w:tr>
    </w:tbl>
    <w:p w14:paraId="30F8C49F" w14:textId="77777777" w:rsidR="00DF6EA5" w:rsidRDefault="00DF6EA5">
      <w:pPr>
        <w:spacing w:after="40"/>
      </w:pPr>
    </w:p>
    <w:p w14:paraId="529BDD8E" w14:textId="77777777" w:rsidR="00DF6EA5" w:rsidRDefault="00FC2F98">
      <w:pPr>
        <w:pStyle w:val="ListBullet"/>
        <w:spacing w:after="60"/>
      </w:pPr>
      <w:r>
        <w:t>The numbers of awards are indicative. If there are not enough fundable applications of one type, the Flexible Funding Board may fund more of another type or carry the money to Round 2.</w:t>
      </w:r>
    </w:p>
    <w:p w14:paraId="408F699A" w14:textId="77777777" w:rsidR="00DF6EA5" w:rsidRDefault="00FC2F98">
      <w:pPr>
        <w:pStyle w:val="ListBullet"/>
        <w:spacing w:after="60"/>
      </w:pPr>
      <w:r>
        <w:t>The limits are the full economic cost (FEC) of the project's eligible costs (Section 8), calculated by your research office. NeuroSYNC pays 80%. Each organisation that receives funding covers the other 20% of its own costs; partners that receive no funding pay nothing.</w:t>
      </w:r>
    </w:p>
    <w:p w14:paraId="58D30AB1" w14:textId="4222973E" w:rsidR="00DF6EA5" w:rsidRDefault="00FC2F98">
      <w:pPr>
        <w:pStyle w:val="ListBullet"/>
        <w:spacing w:after="60"/>
      </w:pPr>
      <w:r>
        <w:t xml:space="preserve">Our EPSRC proposal set a target of 25% of the fund for projects led by early-career researchers or by researchers from groups under-represented in STEM. This is a target we monitor, not a selection rule: apart from the reserved ECR awards in Section 7.1, all applications are ranked on the criteria in Section 10. See also Section 12. </w:t>
      </w:r>
    </w:p>
    <w:p w14:paraId="334E08A9" w14:textId="77777777" w:rsidR="00DF6EA5" w:rsidRDefault="00FC2F98">
      <w:pPr>
        <w:pStyle w:val="Heading1"/>
      </w:pPr>
      <w:r>
        <w:t>5. Key dates</w:t>
      </w:r>
    </w:p>
    <w:tbl>
      <w:tblPr>
        <w:tblW w:w="9411" w:type="dxa"/>
        <w:jc w:val="center"/>
        <w:tblBorders>
          <w:top w:val="single" w:sz="4" w:space="0" w:color="BFB3D1"/>
          <w:left w:val="single" w:sz="4" w:space="0" w:color="BFB3D1"/>
          <w:bottom w:val="single" w:sz="4" w:space="0" w:color="BFB3D1"/>
          <w:right w:val="single" w:sz="4" w:space="0" w:color="BFB3D1"/>
          <w:insideH w:val="single" w:sz="4" w:space="0" w:color="BFB3D1"/>
          <w:insideV w:val="single" w:sz="4" w:space="0" w:color="BFB3D1"/>
        </w:tblBorders>
        <w:tblLayout w:type="fixed"/>
        <w:tblLook w:val="04A0" w:firstRow="1" w:lastRow="0" w:firstColumn="1" w:lastColumn="0" w:noHBand="0" w:noVBand="1"/>
      </w:tblPr>
      <w:tblGrid>
        <w:gridCol w:w="5618"/>
        <w:gridCol w:w="3793"/>
      </w:tblGrid>
      <w:tr w:rsidR="00DF6EA5" w14:paraId="5AFAA7F1" w14:textId="77777777">
        <w:trPr>
          <w:jc w:val="center"/>
        </w:trPr>
        <w:tc>
          <w:tcPr>
            <w:tcW w:w="5617" w:type="dxa"/>
            <w:shd w:val="clear" w:color="auto" w:fill="5B2D90"/>
          </w:tcPr>
          <w:p w14:paraId="53AF057F" w14:textId="77777777" w:rsidR="00DF6EA5" w:rsidRDefault="00FC2F98">
            <w:pPr>
              <w:spacing w:after="40"/>
            </w:pPr>
            <w:r>
              <w:rPr>
                <w:b/>
                <w:color w:val="FFFFFF"/>
                <w:sz w:val="19"/>
              </w:rPr>
              <w:t>Step</w:t>
            </w:r>
          </w:p>
        </w:tc>
        <w:tc>
          <w:tcPr>
            <w:tcW w:w="3793" w:type="dxa"/>
            <w:shd w:val="clear" w:color="auto" w:fill="5B2D90"/>
          </w:tcPr>
          <w:p w14:paraId="7C72CBA0" w14:textId="77777777" w:rsidR="00DF6EA5" w:rsidRPr="00777E8A" w:rsidRDefault="00FC2F98">
            <w:pPr>
              <w:spacing w:after="40"/>
            </w:pPr>
            <w:r w:rsidRPr="00777E8A">
              <w:rPr>
                <w:b/>
                <w:color w:val="FFFFFF"/>
                <w:sz w:val="19"/>
              </w:rPr>
              <w:t>Date</w:t>
            </w:r>
          </w:p>
        </w:tc>
      </w:tr>
      <w:tr w:rsidR="00DF6EA5" w14:paraId="1F363518" w14:textId="77777777">
        <w:trPr>
          <w:jc w:val="center"/>
        </w:trPr>
        <w:tc>
          <w:tcPr>
            <w:tcW w:w="5617" w:type="dxa"/>
          </w:tcPr>
          <w:p w14:paraId="5D09BB44" w14:textId="77777777" w:rsidR="00DF6EA5" w:rsidRDefault="00FC2F98">
            <w:pPr>
              <w:spacing w:after="40"/>
            </w:pPr>
            <w:r>
              <w:rPr>
                <w:sz w:val="19"/>
              </w:rPr>
              <w:t>Call opens</w:t>
            </w:r>
          </w:p>
        </w:tc>
        <w:tc>
          <w:tcPr>
            <w:tcW w:w="3793" w:type="dxa"/>
          </w:tcPr>
          <w:p w14:paraId="5961FD10" w14:textId="482A74C0" w:rsidR="00DF6EA5" w:rsidRPr="00777E8A" w:rsidRDefault="00FC2F98">
            <w:pPr>
              <w:spacing w:after="40"/>
            </w:pPr>
            <w:r w:rsidRPr="00777E8A">
              <w:rPr>
                <w:sz w:val="19"/>
              </w:rPr>
              <w:t>[</w:t>
            </w:r>
            <w:r w:rsidR="00777E8A" w:rsidRPr="00777E8A">
              <w:rPr>
                <w:sz w:val="19"/>
              </w:rPr>
              <w:t>Wednesday</w:t>
            </w:r>
            <w:r w:rsidRPr="00777E8A">
              <w:rPr>
                <w:sz w:val="19"/>
              </w:rPr>
              <w:t xml:space="preserve"> </w:t>
            </w:r>
            <w:r w:rsidR="00777E8A" w:rsidRPr="00777E8A">
              <w:rPr>
                <w:sz w:val="19"/>
              </w:rPr>
              <w:t>4</w:t>
            </w:r>
            <w:r w:rsidRPr="00777E8A">
              <w:rPr>
                <w:sz w:val="19"/>
              </w:rPr>
              <w:t xml:space="preserve"> November 2026]</w:t>
            </w:r>
          </w:p>
        </w:tc>
      </w:tr>
      <w:tr w:rsidR="00DF6EA5" w14:paraId="3B1F8099" w14:textId="77777777">
        <w:trPr>
          <w:jc w:val="center"/>
        </w:trPr>
        <w:tc>
          <w:tcPr>
            <w:tcW w:w="5617" w:type="dxa"/>
            <w:shd w:val="clear" w:color="auto" w:fill="F7F5FA"/>
          </w:tcPr>
          <w:p w14:paraId="7D9F8ADE" w14:textId="77777777" w:rsidR="00DF6EA5" w:rsidRDefault="00FC2F98">
            <w:pPr>
              <w:spacing w:after="40"/>
            </w:pPr>
            <w:r>
              <w:rPr>
                <w:sz w:val="19"/>
              </w:rPr>
              <w:t>Online briefing for applicants (recorded and posted on the call page)</w:t>
            </w:r>
          </w:p>
        </w:tc>
        <w:tc>
          <w:tcPr>
            <w:tcW w:w="3793" w:type="dxa"/>
            <w:shd w:val="clear" w:color="auto" w:fill="F7F5FA"/>
          </w:tcPr>
          <w:p w14:paraId="6C9F6CD8" w14:textId="565FBF71" w:rsidR="00DF6EA5" w:rsidRPr="00777E8A" w:rsidRDefault="00FC2F98">
            <w:pPr>
              <w:spacing w:after="40"/>
            </w:pPr>
            <w:r w:rsidRPr="00777E8A">
              <w:rPr>
                <w:sz w:val="19"/>
              </w:rPr>
              <w:t>[Thursday 12 November 2026, 1</w:t>
            </w:r>
            <w:r w:rsidR="00777E8A" w:rsidRPr="00777E8A">
              <w:rPr>
                <w:sz w:val="19"/>
              </w:rPr>
              <w:t>3</w:t>
            </w:r>
            <w:r w:rsidRPr="00777E8A">
              <w:rPr>
                <w:sz w:val="19"/>
              </w:rPr>
              <w:t>:00</w:t>
            </w:r>
            <w:r w:rsidR="00777E8A" w:rsidRPr="00777E8A">
              <w:rPr>
                <w:sz w:val="19"/>
              </w:rPr>
              <w:t>-</w:t>
            </w:r>
            <w:r w:rsidRPr="00777E8A">
              <w:rPr>
                <w:sz w:val="19"/>
              </w:rPr>
              <w:t>1</w:t>
            </w:r>
            <w:r w:rsidR="00777E8A" w:rsidRPr="00777E8A">
              <w:rPr>
                <w:sz w:val="19"/>
              </w:rPr>
              <w:t>4</w:t>
            </w:r>
            <w:r w:rsidRPr="00777E8A">
              <w:rPr>
                <w:sz w:val="19"/>
              </w:rPr>
              <w:t>:00]</w:t>
            </w:r>
          </w:p>
        </w:tc>
      </w:tr>
      <w:tr w:rsidR="00DF6EA5" w14:paraId="2CEF044A" w14:textId="77777777">
        <w:trPr>
          <w:jc w:val="center"/>
        </w:trPr>
        <w:tc>
          <w:tcPr>
            <w:tcW w:w="5617" w:type="dxa"/>
          </w:tcPr>
          <w:p w14:paraId="4295373D" w14:textId="77777777" w:rsidR="00DF6EA5" w:rsidRDefault="00FC2F98">
            <w:pPr>
              <w:spacing w:after="40"/>
            </w:pPr>
            <w:r>
              <w:rPr>
                <w:sz w:val="19"/>
              </w:rPr>
              <w:t>Last date to ask us for an introduction to NeuroSYNC researchers</w:t>
            </w:r>
          </w:p>
        </w:tc>
        <w:tc>
          <w:tcPr>
            <w:tcW w:w="3793" w:type="dxa"/>
          </w:tcPr>
          <w:p w14:paraId="7174E7D7" w14:textId="77777777" w:rsidR="00DF6EA5" w:rsidRPr="00777E8A" w:rsidRDefault="00FC2F98">
            <w:pPr>
              <w:spacing w:after="40"/>
            </w:pPr>
            <w:r w:rsidRPr="00777E8A">
              <w:rPr>
                <w:sz w:val="19"/>
              </w:rPr>
              <w:t>[Monday 16 November 2026]</w:t>
            </w:r>
          </w:p>
        </w:tc>
      </w:tr>
      <w:tr w:rsidR="00DF6EA5" w14:paraId="71685A16" w14:textId="77777777">
        <w:trPr>
          <w:jc w:val="center"/>
        </w:trPr>
        <w:tc>
          <w:tcPr>
            <w:tcW w:w="5617" w:type="dxa"/>
            <w:shd w:val="clear" w:color="auto" w:fill="F7F5FA"/>
          </w:tcPr>
          <w:p w14:paraId="688454FC" w14:textId="77777777" w:rsidR="00DF6EA5" w:rsidRDefault="00FC2F98">
            <w:pPr>
              <w:spacing w:after="40"/>
            </w:pPr>
            <w:r>
              <w:rPr>
                <w:sz w:val="19"/>
              </w:rPr>
              <w:t>Last date to send us questions</w:t>
            </w:r>
          </w:p>
        </w:tc>
        <w:tc>
          <w:tcPr>
            <w:tcW w:w="3793" w:type="dxa"/>
            <w:shd w:val="clear" w:color="auto" w:fill="F7F5FA"/>
          </w:tcPr>
          <w:p w14:paraId="37BD3A0A" w14:textId="77777777" w:rsidR="00DF6EA5" w:rsidRPr="00777E8A" w:rsidRDefault="00FC2F98">
            <w:pPr>
              <w:spacing w:after="40"/>
            </w:pPr>
            <w:r w:rsidRPr="00777E8A">
              <w:rPr>
                <w:sz w:val="19"/>
              </w:rPr>
              <w:t>[Tuesday 24 November 2026]</w:t>
            </w:r>
          </w:p>
        </w:tc>
      </w:tr>
      <w:tr w:rsidR="00DF6EA5" w14:paraId="64C02DEB" w14:textId="77777777">
        <w:trPr>
          <w:jc w:val="center"/>
        </w:trPr>
        <w:tc>
          <w:tcPr>
            <w:tcW w:w="5617" w:type="dxa"/>
          </w:tcPr>
          <w:p w14:paraId="4B54F0A2" w14:textId="77777777" w:rsidR="00DF6EA5" w:rsidRDefault="00FC2F98">
            <w:pPr>
              <w:spacing w:after="40"/>
            </w:pPr>
            <w:r>
              <w:rPr>
                <w:b/>
                <w:sz w:val="19"/>
              </w:rPr>
              <w:t>Application deadline</w:t>
            </w:r>
          </w:p>
        </w:tc>
        <w:tc>
          <w:tcPr>
            <w:tcW w:w="3793" w:type="dxa"/>
          </w:tcPr>
          <w:p w14:paraId="14A04D3F" w14:textId="77777777" w:rsidR="00DF6EA5" w:rsidRPr="00777E8A" w:rsidRDefault="00FC2F98">
            <w:pPr>
              <w:spacing w:after="40"/>
            </w:pPr>
            <w:r w:rsidRPr="00777E8A">
              <w:rPr>
                <w:b/>
                <w:sz w:val="19"/>
              </w:rPr>
              <w:t>[Tuesday 1 December 2026, 16:00 UK time]</w:t>
            </w:r>
          </w:p>
        </w:tc>
      </w:tr>
      <w:tr w:rsidR="00DF6EA5" w14:paraId="4D66B33A" w14:textId="77777777">
        <w:trPr>
          <w:jc w:val="center"/>
        </w:trPr>
        <w:tc>
          <w:tcPr>
            <w:tcW w:w="5617" w:type="dxa"/>
            <w:shd w:val="clear" w:color="auto" w:fill="F7F5FA"/>
          </w:tcPr>
          <w:p w14:paraId="3BAE8DE0" w14:textId="77777777" w:rsidR="00DF6EA5" w:rsidRDefault="00FC2F98">
            <w:pPr>
              <w:spacing w:after="40"/>
            </w:pPr>
            <w:r>
              <w:rPr>
                <w:sz w:val="19"/>
              </w:rPr>
              <w:t>External review</w:t>
            </w:r>
          </w:p>
        </w:tc>
        <w:tc>
          <w:tcPr>
            <w:tcW w:w="3793" w:type="dxa"/>
            <w:shd w:val="clear" w:color="auto" w:fill="F7F5FA"/>
          </w:tcPr>
          <w:p w14:paraId="3285ADBB" w14:textId="77777777" w:rsidR="00DF6EA5" w:rsidRPr="00777E8A" w:rsidRDefault="00FC2F98">
            <w:pPr>
              <w:spacing w:after="40"/>
            </w:pPr>
            <w:r w:rsidRPr="00777E8A">
              <w:rPr>
                <w:sz w:val="19"/>
              </w:rPr>
              <w:t>December 2026</w:t>
            </w:r>
          </w:p>
        </w:tc>
      </w:tr>
      <w:tr w:rsidR="00DF6EA5" w14:paraId="38AC588A" w14:textId="77777777">
        <w:trPr>
          <w:jc w:val="center"/>
        </w:trPr>
        <w:tc>
          <w:tcPr>
            <w:tcW w:w="5617" w:type="dxa"/>
          </w:tcPr>
          <w:p w14:paraId="77F69F2B" w14:textId="77777777" w:rsidR="00DF6EA5" w:rsidRDefault="00FC2F98">
            <w:pPr>
              <w:spacing w:after="40"/>
            </w:pPr>
            <w:r>
              <w:rPr>
                <w:sz w:val="19"/>
              </w:rPr>
              <w:t>Flexible Funding Board meeting and Steering Committee approval</w:t>
            </w:r>
          </w:p>
        </w:tc>
        <w:tc>
          <w:tcPr>
            <w:tcW w:w="3793" w:type="dxa"/>
          </w:tcPr>
          <w:p w14:paraId="4B45326D" w14:textId="77777777" w:rsidR="00DF6EA5" w:rsidRPr="00777E8A" w:rsidRDefault="00FC2F98">
            <w:pPr>
              <w:spacing w:after="40"/>
            </w:pPr>
            <w:r w:rsidRPr="00777E8A">
              <w:rPr>
                <w:sz w:val="19"/>
              </w:rPr>
              <w:t>[early January 2027]</w:t>
            </w:r>
          </w:p>
        </w:tc>
      </w:tr>
      <w:tr w:rsidR="00DF6EA5" w14:paraId="6726B85A" w14:textId="77777777">
        <w:trPr>
          <w:jc w:val="center"/>
        </w:trPr>
        <w:tc>
          <w:tcPr>
            <w:tcW w:w="5617" w:type="dxa"/>
            <w:shd w:val="clear" w:color="auto" w:fill="F7F5FA"/>
          </w:tcPr>
          <w:p w14:paraId="46CD70E9" w14:textId="77777777" w:rsidR="00DF6EA5" w:rsidRDefault="00FC2F98">
            <w:pPr>
              <w:spacing w:after="40"/>
            </w:pPr>
            <w:r>
              <w:rPr>
                <w:sz w:val="19"/>
              </w:rPr>
              <w:t>Decisions and feedback to all applicants</w:t>
            </w:r>
          </w:p>
        </w:tc>
        <w:tc>
          <w:tcPr>
            <w:tcW w:w="3793" w:type="dxa"/>
            <w:shd w:val="clear" w:color="auto" w:fill="F7F5FA"/>
          </w:tcPr>
          <w:p w14:paraId="52717F1F" w14:textId="77777777" w:rsidR="00DF6EA5" w:rsidRPr="00777E8A" w:rsidRDefault="00FC2F98">
            <w:pPr>
              <w:spacing w:after="40"/>
            </w:pPr>
            <w:r w:rsidRPr="00777E8A">
              <w:rPr>
                <w:sz w:val="19"/>
              </w:rPr>
              <w:t>[by 10 January 2027]</w:t>
            </w:r>
          </w:p>
        </w:tc>
      </w:tr>
      <w:tr w:rsidR="00DF6EA5" w14:paraId="2F89C255" w14:textId="77777777">
        <w:trPr>
          <w:jc w:val="center"/>
        </w:trPr>
        <w:tc>
          <w:tcPr>
            <w:tcW w:w="5617" w:type="dxa"/>
          </w:tcPr>
          <w:p w14:paraId="537B4AB5" w14:textId="77777777" w:rsidR="00DF6EA5" w:rsidRDefault="00FC2F98">
            <w:pPr>
              <w:spacing w:after="40"/>
            </w:pPr>
            <w:r>
              <w:rPr>
                <w:sz w:val="19"/>
              </w:rPr>
              <w:t>Projects start, once the sub-award agreement is signed</w:t>
            </w:r>
          </w:p>
        </w:tc>
        <w:tc>
          <w:tcPr>
            <w:tcW w:w="3793" w:type="dxa"/>
          </w:tcPr>
          <w:p w14:paraId="3BEDDED1" w14:textId="77777777" w:rsidR="00DF6EA5" w:rsidRPr="00777E8A" w:rsidRDefault="00FC2F98">
            <w:pPr>
              <w:spacing w:after="40"/>
            </w:pPr>
            <w:r w:rsidRPr="00777E8A">
              <w:rPr>
                <w:sz w:val="19"/>
              </w:rPr>
              <w:t>Between 1 February and 1 March 2027</w:t>
            </w:r>
          </w:p>
        </w:tc>
      </w:tr>
      <w:tr w:rsidR="00DF6EA5" w14:paraId="5CE2EAA8" w14:textId="77777777">
        <w:trPr>
          <w:jc w:val="center"/>
        </w:trPr>
        <w:tc>
          <w:tcPr>
            <w:tcW w:w="5617" w:type="dxa"/>
            <w:shd w:val="clear" w:color="auto" w:fill="F7F5FA"/>
          </w:tcPr>
          <w:p w14:paraId="52F0F884" w14:textId="77777777" w:rsidR="00DF6EA5" w:rsidRDefault="00FC2F98">
            <w:pPr>
              <w:spacing w:after="40"/>
            </w:pPr>
            <w:r>
              <w:rPr>
                <w:sz w:val="19"/>
              </w:rPr>
              <w:t>Latest end date for all projects</w:t>
            </w:r>
          </w:p>
        </w:tc>
        <w:tc>
          <w:tcPr>
            <w:tcW w:w="3793" w:type="dxa"/>
            <w:shd w:val="clear" w:color="auto" w:fill="F7F5FA"/>
          </w:tcPr>
          <w:p w14:paraId="017ABE4B" w14:textId="77777777" w:rsidR="00DF6EA5" w:rsidRPr="00777E8A" w:rsidRDefault="00FC2F98">
            <w:pPr>
              <w:spacing w:after="40"/>
            </w:pPr>
            <w:r w:rsidRPr="00777E8A">
              <w:rPr>
                <w:sz w:val="19"/>
              </w:rPr>
              <w:t>[30 April 2029]</w:t>
            </w:r>
          </w:p>
        </w:tc>
      </w:tr>
    </w:tbl>
    <w:p w14:paraId="08511DB5" w14:textId="77777777" w:rsidR="00DF6EA5" w:rsidRDefault="00DF6EA5">
      <w:pPr>
        <w:spacing w:after="40"/>
      </w:pPr>
    </w:p>
    <w:p w14:paraId="2AED4C32" w14:textId="77777777" w:rsidR="00DF6EA5" w:rsidRDefault="00FC2F98">
      <w:pPr>
        <w:pStyle w:val="Heading1"/>
      </w:pPr>
      <w:r>
        <w:t>6. Who can apply</w:t>
      </w:r>
    </w:p>
    <w:p w14:paraId="6C90F0C7" w14:textId="77777777" w:rsidR="00DF6EA5" w:rsidRDefault="00FC2F98">
      <w:pPr>
        <w:pStyle w:val="Heading2"/>
      </w:pPr>
      <w:r>
        <w:t>6.1 Lead applicant</w:t>
      </w:r>
    </w:p>
    <w:p w14:paraId="0F720199" w14:textId="77777777" w:rsidR="00DF6EA5" w:rsidRDefault="00FC2F98">
      <w:r>
        <w:t>The lead applicant must be employed at a UK research organisation eligible for UKRI funding, such as a UK university or an eligible research institute. The standard EPSRC rules on who can be an investigator do not apply to this fund, so researchers on fixed-term contracts, including postdoctoral researchers and fellows, can lead. Their contract must cover the whole project, or their organisation must confirm in the organisational approval (Section 7.2 of the application form) that it will employ them for its full length.</w:t>
      </w:r>
    </w:p>
    <w:p w14:paraId="23B41570" w14:textId="77777777" w:rsidR="00DF6EA5" w:rsidRDefault="00FC2F98">
      <w:pPr>
        <w:pStyle w:val="Heading2"/>
      </w:pPr>
      <w:r>
        <w:t>6.2 Working with NeuroSYNC researchers</w:t>
      </w:r>
    </w:p>
    <w:p w14:paraId="4EA72EC5" w14:textId="68A0AE5F" w:rsidR="00DF6EA5" w:rsidRDefault="00FC2F98">
      <w:r>
        <w:t xml:space="preserve">The fund is open to everyone who meets the rules in Section 6.1. You do not need to be a NeuroSYNC member, and you do not need to include a NeuroSYNC researcher in your project. </w:t>
      </w:r>
      <w:r>
        <w:lastRenderedPageBreak/>
        <w:t>Collaboration with researchers at the seven NeuroSYNC universities (Aston, Cambridge, Loughborough, Oxford, Queen Mary University of London, Southampton and Strathclyde) is welcome, and Annex A lists their lead investigators.</w:t>
      </w:r>
    </w:p>
    <w:p w14:paraId="7EBA2789" w14:textId="13357A77" w:rsidR="00DF6EA5" w:rsidRDefault="00FC2F98">
      <w:r>
        <w:t xml:space="preserve">If you would like to find collaborators, email neuromorphic@aston.ac.uk with a short description of your idea (up to 200 words) </w:t>
      </w:r>
      <w:r w:rsidRPr="005E1E7D">
        <w:t>by Monday 16 November 2026. We will put you</w:t>
      </w:r>
      <w:r>
        <w:t xml:space="preserve"> in touch with the NeuroSYNC researchers working in that area. We offer the same route to everyone, and using it gives no advantage in assessment.</w:t>
      </w:r>
    </w:p>
    <w:p w14:paraId="468BA928" w14:textId="77777777" w:rsidR="00DF6EA5" w:rsidRDefault="00FC2F98">
      <w:pPr>
        <w:pStyle w:val="Heading2"/>
      </w:pPr>
      <w:r>
        <w:t>6.3 Type A projects</w:t>
      </w:r>
    </w:p>
    <w:p w14:paraId="76E53D11" w14:textId="77777777" w:rsidR="00DF6EA5" w:rsidRDefault="00FC2F98">
      <w:r>
        <w:t>Type A projects must involve at least two organisations and must bring together at least two disciplines.</w:t>
      </w:r>
    </w:p>
    <w:p w14:paraId="5364B7B3" w14:textId="77777777" w:rsidR="00DF6EA5" w:rsidRDefault="00FC2F98">
      <w:pPr>
        <w:pStyle w:val="Heading2"/>
      </w:pPr>
      <w:r>
        <w:t>6.4 Industry and other partners</w:t>
      </w:r>
    </w:p>
    <w:p w14:paraId="59E837E6" w14:textId="77777777" w:rsidR="00DF6EA5" w:rsidRDefault="00FC2F98">
      <w:r>
        <w:t>Companies, charities, public bodies and organisations outside the UK are welcome as project partners. They can contribute expertise, staff time, materials, facilities, data or cash. Partner contributions are not required. Reviewers judge partner support relative to the project type and stage, and a project without partners is not marked down for that alone.</w:t>
      </w:r>
    </w:p>
    <w:p w14:paraId="3CB565A5" w14:textId="05090938" w:rsidR="00DF6EA5" w:rsidRDefault="00FC2F98">
      <w:r>
        <w:t xml:space="preserve">Companies cannot receive NeuroSYNC funding directly. Where the award terms and the lead organisation's procurement rules allow, a company may be paid as a subcontractor for a specific service, and the application must justify it. In line with the Subsidy Control Act 2022, subcontracted services must be bought at market rates through the lead organisation's procurement process, and company partners must not receive preferential rights to the results without paying fair value. Researchers at organisations outside the UK may join as co-applicants or partners but cannot lead or receive NeuroSYNC funding directly (for visiting researchers, see Section 7.2). </w:t>
      </w:r>
    </w:p>
    <w:p w14:paraId="160944C9" w14:textId="77777777" w:rsidR="00DF6EA5" w:rsidRDefault="00FC2F98">
      <w:pPr>
        <w:pStyle w:val="Heading2"/>
      </w:pPr>
      <w:r>
        <w:t>6.5 How many applications</w:t>
      </w:r>
    </w:p>
    <w:p w14:paraId="7CA07E53" w14:textId="393003CE" w:rsidR="00DF6EA5" w:rsidRDefault="005276C6">
      <w:r w:rsidRPr="005276C6">
        <w:t>E</w:t>
      </w:r>
      <w:r w:rsidR="00FC2F98" w:rsidRPr="005276C6">
        <w:t>ach person may lead one application in Round 1 and be a co-applicant on others. You may submit the same idea to other funders, but tell us if it is funded elsewhere before our decision.</w:t>
      </w:r>
    </w:p>
    <w:p w14:paraId="341B35E8" w14:textId="77777777" w:rsidR="00DF6EA5" w:rsidRDefault="00FC2F98">
      <w:pPr>
        <w:pStyle w:val="Heading2"/>
      </w:pPr>
      <w:r>
        <w:t>6.6 NeuroSYNC investigators and Board members</w:t>
      </w:r>
    </w:p>
    <w:p w14:paraId="12EFD396" w14:textId="77777777" w:rsidR="00DF6EA5" w:rsidRDefault="00FC2F98">
      <w:r>
        <w:t>NeuroSYNC investigators and researchers may lead or join applications. The project must be new work, not work that the NeuroSYNC grant or another award already pays for. Members of the Flexible Funding Board who are named on an application, or who work at an organisation named on it, take no part in its assessment (see Section 10.5).</w:t>
      </w:r>
    </w:p>
    <w:p w14:paraId="1594CDDA" w14:textId="77777777" w:rsidR="00DF6EA5" w:rsidRDefault="00FC2F98">
      <w:pPr>
        <w:pStyle w:val="Heading1"/>
      </w:pPr>
      <w:r>
        <w:t>7. Reserved strands</w:t>
      </w:r>
    </w:p>
    <w:p w14:paraId="08A9EC0E" w14:textId="77777777" w:rsidR="00DF6EA5" w:rsidRDefault="00FC2F98">
      <w:pPr>
        <w:pStyle w:val="Heading2"/>
      </w:pPr>
      <w:r>
        <w:t>7.1 Early-career researcher (ECR) feasibility studies</w:t>
      </w:r>
    </w:p>
    <w:p w14:paraId="79D18FFA" w14:textId="5DF672B9" w:rsidR="00DF6EA5" w:rsidRDefault="00FC2F98">
      <w:r w:rsidRPr="009D38F2">
        <w:t>Four of the eight Type C awards across the two rounds are reserved for projects led by ECRs, [two of the Type C awards in Round 1]. For this fund, an ECR is a researcher who does not yet hold a permanent (open-ended) institutional post. To apply to this strand, tick the ECR box in Section 1 of the application form. ECR-led applications are assessed with all other Type C applications against the same criteria. If fewer than [two] ECR-led projects would be funded on rank alone, the Board funds the next highest-ranked ECR-led Type C applications that reach the threshold in Annex B, up to [two] in this round.</w:t>
      </w:r>
    </w:p>
    <w:p w14:paraId="778D612E" w14:textId="5F9EECEF" w:rsidR="00DF6EA5" w:rsidRDefault="00FC2F98">
      <w:pPr>
        <w:pStyle w:val="Heading2"/>
      </w:pPr>
      <w:r>
        <w:lastRenderedPageBreak/>
        <w:t xml:space="preserve">7.2 UK–Netherlands collaborations </w:t>
      </w:r>
    </w:p>
    <w:p w14:paraId="05D60931" w14:textId="562433F7" w:rsidR="00DF6EA5" w:rsidRDefault="00FC2F98">
      <w:r>
        <w:t xml:space="preserve">NeuroSYNC took part in the UK–Netherlands session on neuromorphic computing during the Dutch "Future of Compute" mission in November 2025 and is among the organisations taking the follow-up forward. </w:t>
      </w:r>
      <w:r w:rsidRPr="00446DCA">
        <w:t>Up to £50k in</w:t>
      </w:r>
      <w:r>
        <w:t xml:space="preserve"> each round is reserved for projects with at least one Dutch university, institute or company, on topics such as laboratory demonstrators developed with end users, shared access to prototyping facilities, and researcher exchanges and secondments. This is enough for one Type C project. Dutch organisations can also join Type A, B or C projects in the open competition as co-applicants or partners (Section 6.4). The UK lead must meet the rules in Section 6. Flexible Fund awards follow UKRI's terms and conditions, so NeuroSYNC funding is paid only to UK organisations. Dutch partners cover their own costs, in kind or from Dutch funding. The UK budget can pay for the UK team's work with the Dutch partners, including travel and secondments. A scientist or engineer of acknowledged standing from a Dutch partner can also be costed as a visiting researcher at the UK organisation for up to 12 months. This does not normally apply to postdoctoral researchers. Each Dutch partner must provide a letter of commitment. These applications are assessed against the same criteria. If no fundable application is received in a round, the money returns to the open competition.</w:t>
      </w:r>
    </w:p>
    <w:p w14:paraId="7F2B4A6E" w14:textId="77777777" w:rsidR="00DF6EA5" w:rsidRDefault="00FC2F98">
      <w:pPr>
        <w:pStyle w:val="Heading1"/>
      </w:pPr>
      <w:r>
        <w:t>8. What we will pay for</w:t>
      </w:r>
    </w:p>
    <w:p w14:paraId="3AD34F8E" w14:textId="0FA1D0FB" w:rsidR="00DF6EA5" w:rsidRDefault="00FC2F98">
      <w:r>
        <w:t>The fund pays directly incurred and directly allocated costs. Ask your research office to cost these as they would for an EPSRC grant. NeuroSYNC does not fund indirect costs. NeuroSYNC pays 80% of the eligible costs.</w:t>
      </w:r>
    </w:p>
    <w:tbl>
      <w:tblPr>
        <w:tblW w:w="9411" w:type="dxa"/>
        <w:jc w:val="center"/>
        <w:tblBorders>
          <w:top w:val="single" w:sz="4" w:space="0" w:color="BFB3D1"/>
          <w:left w:val="single" w:sz="4" w:space="0" w:color="BFB3D1"/>
          <w:bottom w:val="single" w:sz="4" w:space="0" w:color="BFB3D1"/>
          <w:right w:val="single" w:sz="4" w:space="0" w:color="BFB3D1"/>
          <w:insideH w:val="single" w:sz="4" w:space="0" w:color="BFB3D1"/>
          <w:insideV w:val="single" w:sz="4" w:space="0" w:color="BFB3D1"/>
        </w:tblBorders>
        <w:tblLayout w:type="fixed"/>
        <w:tblLook w:val="04A0" w:firstRow="1" w:lastRow="0" w:firstColumn="1" w:lastColumn="0" w:noHBand="0" w:noVBand="1"/>
      </w:tblPr>
      <w:tblGrid>
        <w:gridCol w:w="3609"/>
        <w:gridCol w:w="5802"/>
      </w:tblGrid>
      <w:tr w:rsidR="00DF6EA5" w14:paraId="2F5BCAE2" w14:textId="77777777">
        <w:trPr>
          <w:jc w:val="center"/>
        </w:trPr>
        <w:tc>
          <w:tcPr>
            <w:tcW w:w="3609" w:type="dxa"/>
            <w:shd w:val="clear" w:color="auto" w:fill="5B2D90"/>
          </w:tcPr>
          <w:p w14:paraId="579FBC26" w14:textId="77777777" w:rsidR="00DF6EA5" w:rsidRDefault="00FC2F98">
            <w:pPr>
              <w:spacing w:after="40"/>
            </w:pPr>
            <w:r>
              <w:rPr>
                <w:b/>
                <w:color w:val="FFFFFF"/>
                <w:sz w:val="19"/>
              </w:rPr>
              <w:t>Usually eligible</w:t>
            </w:r>
          </w:p>
        </w:tc>
        <w:tc>
          <w:tcPr>
            <w:tcW w:w="5801" w:type="dxa"/>
            <w:shd w:val="clear" w:color="auto" w:fill="5B2D90"/>
          </w:tcPr>
          <w:p w14:paraId="2601D52C" w14:textId="77777777" w:rsidR="00DF6EA5" w:rsidRDefault="00FC2F98">
            <w:pPr>
              <w:spacing w:after="40"/>
            </w:pPr>
            <w:r>
              <w:rPr>
                <w:b/>
                <w:color w:val="FFFFFF"/>
                <w:sz w:val="19"/>
              </w:rPr>
              <w:t>Not eligible</w:t>
            </w:r>
          </w:p>
        </w:tc>
      </w:tr>
      <w:tr w:rsidR="00DF6EA5" w14:paraId="49FCFC4D" w14:textId="77777777">
        <w:trPr>
          <w:jc w:val="center"/>
        </w:trPr>
        <w:tc>
          <w:tcPr>
            <w:tcW w:w="3609" w:type="dxa"/>
          </w:tcPr>
          <w:p w14:paraId="6F830808" w14:textId="77777777" w:rsidR="00DF6EA5" w:rsidRDefault="00FC2F98">
            <w:pPr>
              <w:spacing w:after="40"/>
            </w:pPr>
            <w:r>
              <w:rPr>
                <w:sz w:val="19"/>
              </w:rPr>
              <w:t>Research associate or technician salary (one RA per project)</w:t>
            </w:r>
          </w:p>
        </w:tc>
        <w:tc>
          <w:tcPr>
            <w:tcW w:w="5801" w:type="dxa"/>
          </w:tcPr>
          <w:p w14:paraId="10D80322" w14:textId="4DDAE395" w:rsidR="00DF6EA5" w:rsidRDefault="00FC2F98">
            <w:pPr>
              <w:spacing w:after="40"/>
            </w:pPr>
            <w:r>
              <w:rPr>
                <w:sz w:val="19"/>
              </w:rPr>
              <w:t xml:space="preserve">Indirect costs </w:t>
            </w:r>
          </w:p>
        </w:tc>
      </w:tr>
      <w:tr w:rsidR="00DF6EA5" w14:paraId="1F69CEAF" w14:textId="77777777">
        <w:trPr>
          <w:jc w:val="center"/>
        </w:trPr>
        <w:tc>
          <w:tcPr>
            <w:tcW w:w="3609" w:type="dxa"/>
            <w:shd w:val="clear" w:color="auto" w:fill="F7F5FA"/>
          </w:tcPr>
          <w:p w14:paraId="096804B8" w14:textId="77777777" w:rsidR="00DF6EA5" w:rsidRDefault="00FC2F98">
            <w:pPr>
              <w:spacing w:after="40"/>
            </w:pPr>
            <w:r>
              <w:rPr>
                <w:sz w:val="19"/>
              </w:rPr>
              <w:t>Investigators' time</w:t>
            </w:r>
          </w:p>
        </w:tc>
        <w:tc>
          <w:tcPr>
            <w:tcW w:w="5801" w:type="dxa"/>
            <w:shd w:val="clear" w:color="auto" w:fill="F7F5FA"/>
          </w:tcPr>
          <w:p w14:paraId="7689CC26" w14:textId="77777777" w:rsidR="00DF6EA5" w:rsidRDefault="00FC2F98">
            <w:pPr>
              <w:spacing w:after="40"/>
            </w:pPr>
            <w:r>
              <w:rPr>
                <w:sz w:val="19"/>
              </w:rPr>
              <w:t>Studentships, and the kind of student costs a training grant would fund (such as PhD stipends and fees)</w:t>
            </w:r>
          </w:p>
        </w:tc>
      </w:tr>
      <w:tr w:rsidR="00DF6EA5" w14:paraId="1D84A377" w14:textId="77777777">
        <w:trPr>
          <w:jc w:val="center"/>
        </w:trPr>
        <w:tc>
          <w:tcPr>
            <w:tcW w:w="3609" w:type="dxa"/>
          </w:tcPr>
          <w:p w14:paraId="392AD33C" w14:textId="77777777" w:rsidR="00DF6EA5" w:rsidRDefault="00FC2F98">
            <w:pPr>
              <w:spacing w:after="40"/>
            </w:pPr>
            <w:r>
              <w:rPr>
                <w:sz w:val="19"/>
              </w:rPr>
              <w:t>Estates and other directly allocated costs</w:t>
            </w:r>
          </w:p>
        </w:tc>
        <w:tc>
          <w:tcPr>
            <w:tcW w:w="5801" w:type="dxa"/>
          </w:tcPr>
          <w:p w14:paraId="3AF67F76" w14:textId="77777777" w:rsidR="00DF6EA5" w:rsidRDefault="00FC2F98">
            <w:pPr>
              <w:spacing w:after="40"/>
            </w:pPr>
            <w:r>
              <w:rPr>
                <w:sz w:val="19"/>
              </w:rPr>
              <w:t>Costs incurred before the start date</w:t>
            </w:r>
          </w:p>
        </w:tc>
      </w:tr>
      <w:tr w:rsidR="00DF6EA5" w14:paraId="274E87D5" w14:textId="77777777">
        <w:trPr>
          <w:jc w:val="center"/>
        </w:trPr>
        <w:tc>
          <w:tcPr>
            <w:tcW w:w="3609" w:type="dxa"/>
            <w:shd w:val="clear" w:color="auto" w:fill="F7F5FA"/>
          </w:tcPr>
          <w:p w14:paraId="047FDEA8" w14:textId="77777777" w:rsidR="00DF6EA5" w:rsidRDefault="00FC2F98">
            <w:pPr>
              <w:spacing w:after="40"/>
            </w:pPr>
            <w:r>
              <w:rPr>
                <w:sz w:val="19"/>
              </w:rPr>
              <w:t>Consumables, materials and samples</w:t>
            </w:r>
          </w:p>
        </w:tc>
        <w:tc>
          <w:tcPr>
            <w:tcW w:w="5801" w:type="dxa"/>
            <w:shd w:val="clear" w:color="auto" w:fill="F7F5FA"/>
          </w:tcPr>
          <w:p w14:paraId="388D7F04" w14:textId="77777777" w:rsidR="00DF6EA5" w:rsidRDefault="00FC2F98">
            <w:pPr>
              <w:spacing w:after="40"/>
            </w:pPr>
            <w:r>
              <w:rPr>
                <w:sz w:val="19"/>
              </w:rPr>
              <w:t>Costs already paid by the NeuroSYNC grant or another award</w:t>
            </w:r>
          </w:p>
        </w:tc>
      </w:tr>
      <w:tr w:rsidR="00DF6EA5" w14:paraId="67694BEE" w14:textId="77777777">
        <w:trPr>
          <w:jc w:val="center"/>
        </w:trPr>
        <w:tc>
          <w:tcPr>
            <w:tcW w:w="3609" w:type="dxa"/>
          </w:tcPr>
          <w:p w14:paraId="0ABDC5E2" w14:textId="77777777" w:rsidR="00DF6EA5" w:rsidRDefault="00FC2F98">
            <w:pPr>
              <w:spacing w:after="40"/>
            </w:pPr>
            <w:r>
              <w:rPr>
                <w:sz w:val="19"/>
              </w:rPr>
              <w:t>Access to facilities, fabrication, characterisation and computing time</w:t>
            </w:r>
          </w:p>
        </w:tc>
        <w:tc>
          <w:tcPr>
            <w:tcW w:w="5801" w:type="dxa"/>
          </w:tcPr>
          <w:p w14:paraId="2D5D17DD" w14:textId="77777777" w:rsidR="00DF6EA5" w:rsidRDefault="00FC2F98">
            <w:pPr>
              <w:spacing w:after="40"/>
            </w:pPr>
            <w:r>
              <w:rPr>
                <w:sz w:val="19"/>
              </w:rPr>
              <w:t>Items normally provided by the organisation, such as standard laptops and office costs</w:t>
            </w:r>
          </w:p>
        </w:tc>
      </w:tr>
      <w:tr w:rsidR="00DF6EA5" w14:paraId="6AEEC7C2" w14:textId="77777777">
        <w:trPr>
          <w:jc w:val="center"/>
        </w:trPr>
        <w:tc>
          <w:tcPr>
            <w:tcW w:w="3609" w:type="dxa"/>
            <w:shd w:val="clear" w:color="auto" w:fill="F7F5FA"/>
          </w:tcPr>
          <w:p w14:paraId="4D92D0B6" w14:textId="0FA781FC" w:rsidR="00DF6EA5" w:rsidRDefault="00FC2F98">
            <w:pPr>
              <w:spacing w:after="40"/>
            </w:pPr>
            <w:r>
              <w:rPr>
                <w:sz w:val="19"/>
              </w:rPr>
              <w:t xml:space="preserve">Small items of </w:t>
            </w:r>
            <w:r w:rsidRPr="0038525C">
              <w:rPr>
                <w:sz w:val="19"/>
              </w:rPr>
              <w:t>equipment [up to £10k</w:t>
            </w:r>
            <w:r w:rsidR="0038525C">
              <w:rPr>
                <w:sz w:val="19"/>
              </w:rPr>
              <w:t xml:space="preserve"> each</w:t>
            </w:r>
            <w:r w:rsidRPr="0038525C">
              <w:rPr>
                <w:sz w:val="19"/>
              </w:rPr>
              <w:t>]</w:t>
            </w:r>
          </w:p>
        </w:tc>
        <w:tc>
          <w:tcPr>
            <w:tcW w:w="5801" w:type="dxa"/>
            <w:shd w:val="clear" w:color="auto" w:fill="F7F5FA"/>
          </w:tcPr>
          <w:p w14:paraId="145DBB80" w14:textId="77777777" w:rsidR="00DF6EA5" w:rsidRDefault="00FC2F98">
            <w:pPr>
              <w:spacing w:after="40"/>
            </w:pPr>
            <w:r>
              <w:rPr>
                <w:sz w:val="19"/>
              </w:rPr>
              <w:t>Open-access publication charges (covered by UKRI open-access funds)</w:t>
            </w:r>
          </w:p>
        </w:tc>
      </w:tr>
      <w:tr w:rsidR="00DF6EA5" w14:paraId="6080F769" w14:textId="77777777">
        <w:trPr>
          <w:jc w:val="center"/>
        </w:trPr>
        <w:tc>
          <w:tcPr>
            <w:tcW w:w="3609" w:type="dxa"/>
          </w:tcPr>
          <w:p w14:paraId="65724866" w14:textId="77777777" w:rsidR="00DF6EA5" w:rsidRDefault="00FC2F98">
            <w:pPr>
              <w:spacing w:after="40"/>
            </w:pPr>
            <w:r>
              <w:rPr>
                <w:sz w:val="19"/>
              </w:rPr>
              <w:t>Travel and subsistence for project work, partner visits and secondments</w:t>
            </w:r>
          </w:p>
        </w:tc>
        <w:tc>
          <w:tcPr>
            <w:tcW w:w="5801" w:type="dxa"/>
          </w:tcPr>
          <w:p w14:paraId="6C5052AF" w14:textId="45EA7115" w:rsidR="00DF6EA5" w:rsidRDefault="00FC2F98">
            <w:pPr>
              <w:spacing w:after="40"/>
            </w:pPr>
            <w:r>
              <w:rPr>
                <w:sz w:val="19"/>
              </w:rPr>
              <w:t xml:space="preserve">Costs of partners outside the UK, including Dutch partners in the UK–Netherlands strand (Section 7.2) </w:t>
            </w:r>
          </w:p>
        </w:tc>
      </w:tr>
      <w:tr w:rsidR="00DF6EA5" w14:paraId="547B1508" w14:textId="77777777">
        <w:trPr>
          <w:jc w:val="center"/>
        </w:trPr>
        <w:tc>
          <w:tcPr>
            <w:tcW w:w="3609" w:type="dxa"/>
            <w:shd w:val="clear" w:color="auto" w:fill="F7F5FA"/>
          </w:tcPr>
          <w:p w14:paraId="4EA0704E" w14:textId="77777777" w:rsidR="00DF6EA5" w:rsidRDefault="00FC2F98">
            <w:pPr>
              <w:spacing w:after="40"/>
            </w:pPr>
            <w:r>
              <w:rPr>
                <w:sz w:val="19"/>
              </w:rPr>
              <w:t>Presenting results at conferences and NeuroSYNC events</w:t>
            </w:r>
          </w:p>
        </w:tc>
        <w:tc>
          <w:tcPr>
            <w:tcW w:w="5801" w:type="dxa"/>
            <w:shd w:val="clear" w:color="auto" w:fill="F7F5FA"/>
          </w:tcPr>
          <w:p w14:paraId="7C012F28" w14:textId="77777777" w:rsidR="00DF6EA5" w:rsidRDefault="00FC2F98">
            <w:pPr>
              <w:spacing w:after="40"/>
            </w:pPr>
            <w:r>
              <w:rPr>
                <w:sz w:val="19"/>
              </w:rPr>
              <w:t>Entertainment and gifts</w:t>
            </w:r>
          </w:p>
        </w:tc>
      </w:tr>
      <w:tr w:rsidR="00DF6EA5" w14:paraId="0FC7A716" w14:textId="77777777">
        <w:trPr>
          <w:jc w:val="center"/>
        </w:trPr>
        <w:tc>
          <w:tcPr>
            <w:tcW w:w="3609" w:type="dxa"/>
          </w:tcPr>
          <w:p w14:paraId="10E2A55B" w14:textId="7B03E33F" w:rsidR="00DF6EA5" w:rsidRDefault="00FC2F98">
            <w:pPr>
              <w:spacing w:after="40"/>
            </w:pPr>
            <w:r>
              <w:rPr>
                <w:sz w:val="19"/>
              </w:rPr>
              <w:t>Justified subcontracted services</w:t>
            </w:r>
          </w:p>
        </w:tc>
        <w:tc>
          <w:tcPr>
            <w:tcW w:w="5801" w:type="dxa"/>
          </w:tcPr>
          <w:p w14:paraId="61EE588B" w14:textId="77777777" w:rsidR="00DF6EA5" w:rsidRDefault="00DF6EA5">
            <w:pPr>
              <w:spacing w:after="40"/>
            </w:pPr>
          </w:p>
        </w:tc>
      </w:tr>
      <w:tr w:rsidR="00417C71" w14:paraId="5CF478C6" w14:textId="77777777">
        <w:trPr>
          <w:jc w:val="center"/>
        </w:trPr>
        <w:tc>
          <w:tcPr>
            <w:tcW w:w="3609" w:type="dxa"/>
          </w:tcPr>
          <w:p w14:paraId="5614707C" w14:textId="77777777" w:rsidR="00417C71" w:rsidRDefault="001A267D">
            <w:pPr>
              <w:spacing w:after="40"/>
              <w:rPr>
                <w:sz w:val="19"/>
              </w:rPr>
            </w:pPr>
            <w:r>
              <w:rPr>
                <w:sz w:val="19"/>
              </w:rPr>
              <w:t>Visiting researchers of acknowledged standing, from the UK or abroad, for up to 12 months each (Section 7.2)</w:t>
            </w:r>
          </w:p>
        </w:tc>
        <w:tc>
          <w:tcPr>
            <w:tcW w:w="5801" w:type="dxa"/>
          </w:tcPr>
          <w:p w14:paraId="692C20D5" w14:textId="77777777" w:rsidR="00417C71" w:rsidRDefault="00417C71">
            <w:pPr>
              <w:spacing w:after="40"/>
              <w:rPr>
                <w:sz w:val="19"/>
              </w:rPr>
            </w:pPr>
          </w:p>
        </w:tc>
      </w:tr>
    </w:tbl>
    <w:p w14:paraId="7961C19E" w14:textId="77777777" w:rsidR="00DF6EA5" w:rsidRDefault="00DF6EA5">
      <w:pPr>
        <w:spacing w:after="40"/>
      </w:pPr>
    </w:p>
    <w:p w14:paraId="364DC74E" w14:textId="77777777" w:rsidR="00DF6EA5" w:rsidRDefault="00FC2F98">
      <w:r>
        <w:rPr>
          <w:b/>
        </w:rPr>
        <w:t>One research associate per project.</w:t>
      </w:r>
      <w:r>
        <w:t xml:space="preserve"> If two organisations share the RA, the application must say who hosts and supervises them and what each organisation contributes. Recruitment can take three to four months, so plan the work to make the best use of the time: start with investigator-led tasks, or name an RA already in post.</w:t>
      </w:r>
    </w:p>
    <w:p w14:paraId="60E3CD61" w14:textId="77777777" w:rsidR="00DF6EA5" w:rsidRDefault="00FC2F98">
      <w:pPr>
        <w:pStyle w:val="Heading1"/>
      </w:pPr>
      <w:r>
        <w:lastRenderedPageBreak/>
        <w:t>9. How to apply</w:t>
      </w:r>
    </w:p>
    <w:p w14:paraId="1E4AFE79" w14:textId="77777777" w:rsidR="00DF6EA5" w:rsidRDefault="00FC2F98">
      <w:pPr>
        <w:tabs>
          <w:tab w:val="left" w:pos="369"/>
        </w:tabs>
        <w:spacing w:after="60"/>
        <w:ind w:left="369" w:hanging="369"/>
      </w:pPr>
      <w:r>
        <w:t>1.</w:t>
      </w:r>
      <w:r>
        <w:tab/>
        <w:t>Check that your project meets the rules in Sections 3, 6 and 8.</w:t>
      </w:r>
    </w:p>
    <w:p w14:paraId="3E112194" w14:textId="77777777" w:rsidR="00DF6EA5" w:rsidRDefault="00FC2F98">
      <w:pPr>
        <w:tabs>
          <w:tab w:val="left" w:pos="369"/>
        </w:tabs>
        <w:spacing w:after="60"/>
        <w:ind w:left="369" w:hanging="369"/>
      </w:pPr>
      <w:r>
        <w:t>2.</w:t>
      </w:r>
      <w:r>
        <w:tab/>
        <w:t>Join the online briefing, or watch the recording on the call page.</w:t>
      </w:r>
    </w:p>
    <w:p w14:paraId="3241F864" w14:textId="77777777" w:rsidR="00DF6EA5" w:rsidRDefault="00FC2F98">
      <w:pPr>
        <w:tabs>
          <w:tab w:val="left" w:pos="369"/>
        </w:tabs>
        <w:spacing w:after="60"/>
        <w:ind w:left="369" w:hanging="369"/>
      </w:pPr>
      <w:r>
        <w:t>3.</w:t>
      </w:r>
      <w:r>
        <w:tab/>
        <w:t>Ask your research office to cost the project and to approve the application. Allow at least a week for this.</w:t>
      </w:r>
    </w:p>
    <w:p w14:paraId="27E2F510" w14:textId="77777777" w:rsidR="00DF6EA5" w:rsidRDefault="00FC2F98">
      <w:pPr>
        <w:tabs>
          <w:tab w:val="left" w:pos="369"/>
        </w:tabs>
        <w:spacing w:after="60"/>
        <w:ind w:left="369" w:hanging="369"/>
      </w:pPr>
      <w:r>
        <w:t>4.</w:t>
      </w:r>
      <w:r>
        <w:tab/>
        <w:t>Complete the application form. Keep to the word limits for your project type. The attachments are listed in Section 8 of the form.</w:t>
      </w:r>
    </w:p>
    <w:p w14:paraId="48E02D65" w14:textId="77777777" w:rsidR="00DF6EA5" w:rsidRDefault="00FC2F98">
      <w:pPr>
        <w:tabs>
          <w:tab w:val="left" w:pos="369"/>
        </w:tabs>
        <w:spacing w:after="60"/>
        <w:ind w:left="369" w:hanging="369"/>
      </w:pPr>
      <w:r>
        <w:t>5.</w:t>
      </w:r>
      <w:r>
        <w:tab/>
        <w:t xml:space="preserve">Email the form and attachments as </w:t>
      </w:r>
      <w:r>
        <w:rPr>
          <w:b/>
        </w:rPr>
        <w:t>one PDF</w:t>
      </w:r>
      <w:r>
        <w:t xml:space="preserve"> (max 10 MB) to </w:t>
      </w:r>
      <w:r>
        <w:rPr>
          <w:b/>
        </w:rPr>
        <w:t>neuromorphic@aston.ac.uk</w:t>
      </w:r>
      <w:r>
        <w:t xml:space="preserve"> by </w:t>
      </w:r>
      <w:r>
        <w:rPr>
          <w:b/>
        </w:rPr>
        <w:t>[16:00 UK time on Tuesday 1 December 2026]</w:t>
      </w:r>
      <w:r>
        <w:t xml:space="preserve">, with the subject line "Flexible Fund R1 </w:t>
      </w:r>
      <w:r w:rsidRPr="000B4AC0">
        <w:t>– [lead surname]". Electronic</w:t>
      </w:r>
      <w:r>
        <w:t xml:space="preserve"> signatures are accepted.</w:t>
      </w:r>
    </w:p>
    <w:p w14:paraId="5B3A5993" w14:textId="77777777" w:rsidR="00DF6EA5" w:rsidRDefault="00FC2F98">
      <w:r>
        <w:t>We will confirm receipt, with a reference number, within two working days. We cannot accept late applications or applications over the word limits. We may ask for a missing signature or detail, but not for new content.</w:t>
      </w:r>
    </w:p>
    <w:p w14:paraId="688B4D18" w14:textId="77777777" w:rsidR="00DF6EA5" w:rsidRDefault="00FC2F98">
      <w:r>
        <w:rPr>
          <w:b/>
        </w:rPr>
        <w:t>Word limits.</w:t>
      </w:r>
      <w:r>
        <w:t xml:space="preserve"> Word limits include text in tables, except the milestone table, the risk table, the budget table and references. References may be listed after Section 3 of the form (max one page) and do not count towards the limits.</w:t>
      </w:r>
    </w:p>
    <w:tbl>
      <w:tblPr>
        <w:tblW w:w="9411" w:type="dxa"/>
        <w:jc w:val="center"/>
        <w:tblBorders>
          <w:top w:val="single" w:sz="4" w:space="0" w:color="BFB3D1"/>
          <w:left w:val="single" w:sz="4" w:space="0" w:color="BFB3D1"/>
          <w:bottom w:val="single" w:sz="4" w:space="0" w:color="BFB3D1"/>
          <w:right w:val="single" w:sz="4" w:space="0" w:color="BFB3D1"/>
          <w:insideH w:val="single" w:sz="4" w:space="0" w:color="BFB3D1"/>
          <w:insideV w:val="single" w:sz="4" w:space="0" w:color="BFB3D1"/>
        </w:tblBorders>
        <w:tblLayout w:type="fixed"/>
        <w:tblLook w:val="04A0" w:firstRow="1" w:lastRow="0" w:firstColumn="1" w:lastColumn="0" w:noHBand="0" w:noVBand="1"/>
      </w:tblPr>
      <w:tblGrid>
        <w:gridCol w:w="2688"/>
        <w:gridCol w:w="2241"/>
        <w:gridCol w:w="2241"/>
        <w:gridCol w:w="2241"/>
      </w:tblGrid>
      <w:tr w:rsidR="00DF6EA5" w14:paraId="400C6ADE" w14:textId="77777777">
        <w:trPr>
          <w:jc w:val="center"/>
        </w:trPr>
        <w:tc>
          <w:tcPr>
            <w:tcW w:w="2688" w:type="dxa"/>
            <w:shd w:val="clear" w:color="auto" w:fill="5B2D90"/>
          </w:tcPr>
          <w:p w14:paraId="431972C0" w14:textId="77777777" w:rsidR="00DF6EA5" w:rsidRDefault="00FC2F98">
            <w:pPr>
              <w:spacing w:after="40"/>
            </w:pPr>
            <w:r>
              <w:rPr>
                <w:b/>
                <w:color w:val="FFFFFF"/>
                <w:sz w:val="19"/>
              </w:rPr>
              <w:t>Section of the form</w:t>
            </w:r>
          </w:p>
        </w:tc>
        <w:tc>
          <w:tcPr>
            <w:tcW w:w="2240" w:type="dxa"/>
            <w:shd w:val="clear" w:color="auto" w:fill="5B2D90"/>
          </w:tcPr>
          <w:p w14:paraId="42541235" w14:textId="77777777" w:rsidR="00DF6EA5" w:rsidRDefault="00FC2F98">
            <w:pPr>
              <w:spacing w:after="40"/>
            </w:pPr>
            <w:r>
              <w:rPr>
                <w:b/>
                <w:color w:val="FFFFFF"/>
                <w:sz w:val="19"/>
              </w:rPr>
              <w:t>Type A</w:t>
            </w:r>
          </w:p>
        </w:tc>
        <w:tc>
          <w:tcPr>
            <w:tcW w:w="2240" w:type="dxa"/>
            <w:shd w:val="clear" w:color="auto" w:fill="5B2D90"/>
          </w:tcPr>
          <w:p w14:paraId="2E4B48A8" w14:textId="77777777" w:rsidR="00DF6EA5" w:rsidRDefault="00FC2F98">
            <w:pPr>
              <w:spacing w:after="40"/>
            </w:pPr>
            <w:r>
              <w:rPr>
                <w:b/>
                <w:color w:val="FFFFFF"/>
                <w:sz w:val="19"/>
              </w:rPr>
              <w:t>Type B</w:t>
            </w:r>
          </w:p>
        </w:tc>
        <w:tc>
          <w:tcPr>
            <w:tcW w:w="2240" w:type="dxa"/>
            <w:shd w:val="clear" w:color="auto" w:fill="5B2D90"/>
          </w:tcPr>
          <w:p w14:paraId="192F20DD" w14:textId="77777777" w:rsidR="00DF6EA5" w:rsidRDefault="00FC2F98">
            <w:pPr>
              <w:spacing w:after="40"/>
            </w:pPr>
            <w:r>
              <w:rPr>
                <w:b/>
                <w:color w:val="FFFFFF"/>
                <w:sz w:val="19"/>
              </w:rPr>
              <w:t>Type C</w:t>
            </w:r>
          </w:p>
        </w:tc>
      </w:tr>
      <w:tr w:rsidR="00DF6EA5" w14:paraId="1D366F24" w14:textId="77777777">
        <w:trPr>
          <w:jc w:val="center"/>
        </w:trPr>
        <w:tc>
          <w:tcPr>
            <w:tcW w:w="2688" w:type="dxa"/>
          </w:tcPr>
          <w:p w14:paraId="376CA369" w14:textId="77777777" w:rsidR="00DF6EA5" w:rsidRDefault="00FC2F98">
            <w:pPr>
              <w:spacing w:after="40"/>
            </w:pPr>
            <w:r>
              <w:rPr>
                <w:sz w:val="19"/>
              </w:rPr>
              <w:t>Public summary</w:t>
            </w:r>
          </w:p>
        </w:tc>
        <w:tc>
          <w:tcPr>
            <w:tcW w:w="2240" w:type="dxa"/>
          </w:tcPr>
          <w:p w14:paraId="5DC5C809" w14:textId="77777777" w:rsidR="00DF6EA5" w:rsidRDefault="00FC2F98">
            <w:pPr>
              <w:spacing w:after="40"/>
            </w:pPr>
            <w:r>
              <w:rPr>
                <w:sz w:val="19"/>
              </w:rPr>
              <w:t>200 words</w:t>
            </w:r>
          </w:p>
        </w:tc>
        <w:tc>
          <w:tcPr>
            <w:tcW w:w="2240" w:type="dxa"/>
          </w:tcPr>
          <w:p w14:paraId="0797F9C2" w14:textId="77777777" w:rsidR="00DF6EA5" w:rsidRDefault="00FC2F98">
            <w:pPr>
              <w:spacing w:after="40"/>
            </w:pPr>
            <w:r>
              <w:rPr>
                <w:sz w:val="19"/>
              </w:rPr>
              <w:t>200 words</w:t>
            </w:r>
          </w:p>
        </w:tc>
        <w:tc>
          <w:tcPr>
            <w:tcW w:w="2240" w:type="dxa"/>
          </w:tcPr>
          <w:p w14:paraId="6C553DF2" w14:textId="77777777" w:rsidR="00DF6EA5" w:rsidRDefault="00FC2F98">
            <w:pPr>
              <w:spacing w:after="40"/>
            </w:pPr>
            <w:r>
              <w:rPr>
                <w:sz w:val="19"/>
              </w:rPr>
              <w:t>200 words</w:t>
            </w:r>
          </w:p>
        </w:tc>
      </w:tr>
      <w:tr w:rsidR="00DF6EA5" w14:paraId="4C0E1040" w14:textId="77777777">
        <w:trPr>
          <w:jc w:val="center"/>
        </w:trPr>
        <w:tc>
          <w:tcPr>
            <w:tcW w:w="2688" w:type="dxa"/>
            <w:shd w:val="clear" w:color="auto" w:fill="F7F5FA"/>
          </w:tcPr>
          <w:p w14:paraId="4C528614" w14:textId="77777777" w:rsidR="00DF6EA5" w:rsidRDefault="00FC2F98">
            <w:pPr>
              <w:spacing w:after="40"/>
            </w:pPr>
            <w:r>
              <w:rPr>
                <w:sz w:val="19"/>
              </w:rPr>
              <w:t>Vision, novelty and ambition</w:t>
            </w:r>
          </w:p>
        </w:tc>
        <w:tc>
          <w:tcPr>
            <w:tcW w:w="2240" w:type="dxa"/>
            <w:shd w:val="clear" w:color="auto" w:fill="F7F5FA"/>
          </w:tcPr>
          <w:p w14:paraId="14EE8A7B" w14:textId="77777777" w:rsidR="00DF6EA5" w:rsidRDefault="00FC2F98">
            <w:pPr>
              <w:spacing w:after="40"/>
            </w:pPr>
            <w:r>
              <w:rPr>
                <w:sz w:val="19"/>
              </w:rPr>
              <w:t>800 words</w:t>
            </w:r>
          </w:p>
        </w:tc>
        <w:tc>
          <w:tcPr>
            <w:tcW w:w="2240" w:type="dxa"/>
            <w:shd w:val="clear" w:color="auto" w:fill="F7F5FA"/>
          </w:tcPr>
          <w:p w14:paraId="1E4342AA" w14:textId="77777777" w:rsidR="00DF6EA5" w:rsidRDefault="00FC2F98">
            <w:pPr>
              <w:spacing w:after="40"/>
            </w:pPr>
            <w:r>
              <w:rPr>
                <w:sz w:val="19"/>
              </w:rPr>
              <w:t>600 words</w:t>
            </w:r>
          </w:p>
        </w:tc>
        <w:tc>
          <w:tcPr>
            <w:tcW w:w="2240" w:type="dxa"/>
            <w:shd w:val="clear" w:color="auto" w:fill="F7F5FA"/>
          </w:tcPr>
          <w:p w14:paraId="15612D28" w14:textId="77777777" w:rsidR="00DF6EA5" w:rsidRDefault="00FC2F98">
            <w:pPr>
              <w:spacing w:after="40"/>
            </w:pPr>
            <w:r>
              <w:rPr>
                <w:sz w:val="19"/>
              </w:rPr>
              <w:t>300 words</w:t>
            </w:r>
          </w:p>
        </w:tc>
      </w:tr>
      <w:tr w:rsidR="00DF6EA5" w14:paraId="5FC3E94E" w14:textId="77777777">
        <w:trPr>
          <w:jc w:val="center"/>
        </w:trPr>
        <w:tc>
          <w:tcPr>
            <w:tcW w:w="2688" w:type="dxa"/>
          </w:tcPr>
          <w:p w14:paraId="52925458" w14:textId="77777777" w:rsidR="00DF6EA5" w:rsidRDefault="00FC2F98">
            <w:pPr>
              <w:spacing w:after="40"/>
            </w:pPr>
            <w:r>
              <w:rPr>
                <w:sz w:val="19"/>
              </w:rPr>
              <w:t>Approach and work plan</w:t>
            </w:r>
          </w:p>
        </w:tc>
        <w:tc>
          <w:tcPr>
            <w:tcW w:w="2240" w:type="dxa"/>
          </w:tcPr>
          <w:p w14:paraId="52BA9FCA" w14:textId="77777777" w:rsidR="00DF6EA5" w:rsidRDefault="00FC2F98">
            <w:pPr>
              <w:spacing w:after="40"/>
            </w:pPr>
            <w:r>
              <w:rPr>
                <w:sz w:val="19"/>
              </w:rPr>
              <w:t>800 words</w:t>
            </w:r>
          </w:p>
        </w:tc>
        <w:tc>
          <w:tcPr>
            <w:tcW w:w="2240" w:type="dxa"/>
          </w:tcPr>
          <w:p w14:paraId="5C90F0D5" w14:textId="77777777" w:rsidR="00DF6EA5" w:rsidRDefault="00FC2F98">
            <w:pPr>
              <w:spacing w:after="40"/>
            </w:pPr>
            <w:r>
              <w:rPr>
                <w:sz w:val="19"/>
              </w:rPr>
              <w:t>600 words</w:t>
            </w:r>
          </w:p>
        </w:tc>
        <w:tc>
          <w:tcPr>
            <w:tcW w:w="2240" w:type="dxa"/>
          </w:tcPr>
          <w:p w14:paraId="3F73FD29" w14:textId="77777777" w:rsidR="00DF6EA5" w:rsidRDefault="00FC2F98">
            <w:pPr>
              <w:spacing w:after="40"/>
            </w:pPr>
            <w:r>
              <w:rPr>
                <w:sz w:val="19"/>
              </w:rPr>
              <w:t>300 words</w:t>
            </w:r>
          </w:p>
        </w:tc>
      </w:tr>
      <w:tr w:rsidR="00DF6EA5" w14:paraId="12130B17" w14:textId="77777777">
        <w:trPr>
          <w:jc w:val="center"/>
        </w:trPr>
        <w:tc>
          <w:tcPr>
            <w:tcW w:w="2688" w:type="dxa"/>
            <w:shd w:val="clear" w:color="auto" w:fill="F7F5FA"/>
          </w:tcPr>
          <w:p w14:paraId="79DA4640" w14:textId="77777777" w:rsidR="00DF6EA5" w:rsidRDefault="00FC2F98">
            <w:pPr>
              <w:spacing w:after="40"/>
            </w:pPr>
            <w:r>
              <w:rPr>
                <w:sz w:val="19"/>
              </w:rPr>
              <w:t>Impact and fit with the roadmap</w:t>
            </w:r>
          </w:p>
        </w:tc>
        <w:tc>
          <w:tcPr>
            <w:tcW w:w="2240" w:type="dxa"/>
            <w:shd w:val="clear" w:color="auto" w:fill="F7F5FA"/>
          </w:tcPr>
          <w:p w14:paraId="45C5FB30" w14:textId="77777777" w:rsidR="00DF6EA5" w:rsidRDefault="00FC2F98">
            <w:pPr>
              <w:spacing w:after="40"/>
            </w:pPr>
            <w:r>
              <w:rPr>
                <w:sz w:val="19"/>
              </w:rPr>
              <w:t>600 words</w:t>
            </w:r>
          </w:p>
        </w:tc>
        <w:tc>
          <w:tcPr>
            <w:tcW w:w="2240" w:type="dxa"/>
            <w:shd w:val="clear" w:color="auto" w:fill="F7F5FA"/>
          </w:tcPr>
          <w:p w14:paraId="57423687" w14:textId="77777777" w:rsidR="00DF6EA5" w:rsidRDefault="00FC2F98">
            <w:pPr>
              <w:spacing w:after="40"/>
            </w:pPr>
            <w:r>
              <w:rPr>
                <w:sz w:val="19"/>
              </w:rPr>
              <w:t>450 words</w:t>
            </w:r>
          </w:p>
        </w:tc>
        <w:tc>
          <w:tcPr>
            <w:tcW w:w="2240" w:type="dxa"/>
            <w:shd w:val="clear" w:color="auto" w:fill="F7F5FA"/>
          </w:tcPr>
          <w:p w14:paraId="2232CDEF" w14:textId="77777777" w:rsidR="00DF6EA5" w:rsidRDefault="00FC2F98">
            <w:pPr>
              <w:spacing w:after="40"/>
            </w:pPr>
            <w:r>
              <w:rPr>
                <w:sz w:val="19"/>
              </w:rPr>
              <w:t>250 words</w:t>
            </w:r>
          </w:p>
        </w:tc>
      </w:tr>
      <w:tr w:rsidR="00DF6EA5" w14:paraId="3A1181F7" w14:textId="77777777">
        <w:trPr>
          <w:jc w:val="center"/>
        </w:trPr>
        <w:tc>
          <w:tcPr>
            <w:tcW w:w="2688" w:type="dxa"/>
          </w:tcPr>
          <w:p w14:paraId="7F9D2CD8" w14:textId="77777777" w:rsidR="00DF6EA5" w:rsidRDefault="00FC2F98">
            <w:pPr>
              <w:spacing w:after="40"/>
            </w:pPr>
            <w:r>
              <w:rPr>
                <w:sz w:val="19"/>
              </w:rPr>
              <w:t>Team, collaboration and management</w:t>
            </w:r>
          </w:p>
        </w:tc>
        <w:tc>
          <w:tcPr>
            <w:tcW w:w="2240" w:type="dxa"/>
          </w:tcPr>
          <w:p w14:paraId="4BCE6336" w14:textId="77777777" w:rsidR="00DF6EA5" w:rsidRDefault="00FC2F98">
            <w:pPr>
              <w:spacing w:after="40"/>
            </w:pPr>
            <w:r>
              <w:rPr>
                <w:sz w:val="19"/>
              </w:rPr>
              <w:t>500 words</w:t>
            </w:r>
          </w:p>
        </w:tc>
        <w:tc>
          <w:tcPr>
            <w:tcW w:w="2240" w:type="dxa"/>
          </w:tcPr>
          <w:p w14:paraId="47C0FB7D" w14:textId="77777777" w:rsidR="00DF6EA5" w:rsidRDefault="00FC2F98">
            <w:pPr>
              <w:spacing w:after="40"/>
            </w:pPr>
            <w:r>
              <w:rPr>
                <w:sz w:val="19"/>
              </w:rPr>
              <w:t>400 words</w:t>
            </w:r>
          </w:p>
        </w:tc>
        <w:tc>
          <w:tcPr>
            <w:tcW w:w="2240" w:type="dxa"/>
          </w:tcPr>
          <w:p w14:paraId="517CC154" w14:textId="77777777" w:rsidR="00DF6EA5" w:rsidRDefault="00FC2F98">
            <w:pPr>
              <w:spacing w:after="40"/>
            </w:pPr>
            <w:r>
              <w:rPr>
                <w:sz w:val="19"/>
              </w:rPr>
              <w:t>200 words</w:t>
            </w:r>
          </w:p>
        </w:tc>
      </w:tr>
      <w:tr w:rsidR="00DF6EA5" w14:paraId="358CEC8C" w14:textId="77777777">
        <w:trPr>
          <w:jc w:val="center"/>
        </w:trPr>
        <w:tc>
          <w:tcPr>
            <w:tcW w:w="2688" w:type="dxa"/>
            <w:shd w:val="clear" w:color="auto" w:fill="F7F5FA"/>
          </w:tcPr>
          <w:p w14:paraId="4CB3C163" w14:textId="77777777" w:rsidR="00DF6EA5" w:rsidRDefault="00FC2F98">
            <w:pPr>
              <w:spacing w:after="40"/>
            </w:pPr>
            <w:r>
              <w:rPr>
                <w:sz w:val="19"/>
              </w:rPr>
              <w:t>Risks (table)</w:t>
            </w:r>
          </w:p>
        </w:tc>
        <w:tc>
          <w:tcPr>
            <w:tcW w:w="2240" w:type="dxa"/>
            <w:shd w:val="clear" w:color="auto" w:fill="F7F5FA"/>
          </w:tcPr>
          <w:p w14:paraId="270ED8F2" w14:textId="77777777" w:rsidR="00DF6EA5" w:rsidRDefault="00FC2F98">
            <w:pPr>
              <w:spacing w:after="40"/>
            </w:pPr>
            <w:r>
              <w:rPr>
                <w:sz w:val="19"/>
              </w:rPr>
              <w:t>250 words</w:t>
            </w:r>
          </w:p>
        </w:tc>
        <w:tc>
          <w:tcPr>
            <w:tcW w:w="2240" w:type="dxa"/>
            <w:shd w:val="clear" w:color="auto" w:fill="F7F5FA"/>
          </w:tcPr>
          <w:p w14:paraId="7FA5778E" w14:textId="77777777" w:rsidR="00DF6EA5" w:rsidRDefault="00FC2F98">
            <w:pPr>
              <w:spacing w:after="40"/>
            </w:pPr>
            <w:r>
              <w:rPr>
                <w:sz w:val="19"/>
              </w:rPr>
              <w:t>200 words</w:t>
            </w:r>
          </w:p>
        </w:tc>
        <w:tc>
          <w:tcPr>
            <w:tcW w:w="2240" w:type="dxa"/>
            <w:shd w:val="clear" w:color="auto" w:fill="F7F5FA"/>
          </w:tcPr>
          <w:p w14:paraId="09E872E8" w14:textId="77777777" w:rsidR="00DF6EA5" w:rsidRDefault="00FC2F98">
            <w:pPr>
              <w:spacing w:after="40"/>
            </w:pPr>
            <w:r>
              <w:rPr>
                <w:sz w:val="19"/>
              </w:rPr>
              <w:t>100 words</w:t>
            </w:r>
          </w:p>
        </w:tc>
      </w:tr>
      <w:tr w:rsidR="00DF6EA5" w14:paraId="423B7A06" w14:textId="77777777">
        <w:trPr>
          <w:jc w:val="center"/>
        </w:trPr>
        <w:tc>
          <w:tcPr>
            <w:tcW w:w="2688" w:type="dxa"/>
          </w:tcPr>
          <w:p w14:paraId="7A5B8E86" w14:textId="77777777" w:rsidR="00DF6EA5" w:rsidRDefault="00FC2F98">
            <w:pPr>
              <w:spacing w:after="40"/>
            </w:pPr>
            <w:r>
              <w:rPr>
                <w:sz w:val="19"/>
              </w:rPr>
              <w:t>Justification of resources</w:t>
            </w:r>
          </w:p>
        </w:tc>
        <w:tc>
          <w:tcPr>
            <w:tcW w:w="2240" w:type="dxa"/>
          </w:tcPr>
          <w:p w14:paraId="25779874" w14:textId="77777777" w:rsidR="00DF6EA5" w:rsidRDefault="00FC2F98">
            <w:pPr>
              <w:spacing w:after="40"/>
            </w:pPr>
            <w:r>
              <w:rPr>
                <w:sz w:val="19"/>
              </w:rPr>
              <w:t>500 words</w:t>
            </w:r>
          </w:p>
        </w:tc>
        <w:tc>
          <w:tcPr>
            <w:tcW w:w="2240" w:type="dxa"/>
          </w:tcPr>
          <w:p w14:paraId="782051A9" w14:textId="77777777" w:rsidR="00DF6EA5" w:rsidRDefault="00FC2F98">
            <w:pPr>
              <w:spacing w:after="40"/>
            </w:pPr>
            <w:r>
              <w:rPr>
                <w:sz w:val="19"/>
              </w:rPr>
              <w:t>400 words</w:t>
            </w:r>
          </w:p>
        </w:tc>
        <w:tc>
          <w:tcPr>
            <w:tcW w:w="2240" w:type="dxa"/>
          </w:tcPr>
          <w:p w14:paraId="0AE9B117" w14:textId="77777777" w:rsidR="00DF6EA5" w:rsidRDefault="00FC2F98">
            <w:pPr>
              <w:spacing w:after="40"/>
            </w:pPr>
            <w:r>
              <w:rPr>
                <w:sz w:val="19"/>
              </w:rPr>
              <w:t>200 words</w:t>
            </w:r>
          </w:p>
        </w:tc>
      </w:tr>
      <w:tr w:rsidR="00DF6EA5" w14:paraId="0D1F311C" w14:textId="77777777">
        <w:trPr>
          <w:jc w:val="center"/>
        </w:trPr>
        <w:tc>
          <w:tcPr>
            <w:tcW w:w="2688" w:type="dxa"/>
            <w:shd w:val="clear" w:color="auto" w:fill="F7F5FA"/>
          </w:tcPr>
          <w:p w14:paraId="7EC51AA2" w14:textId="77777777" w:rsidR="00DF6EA5" w:rsidRDefault="00FC2F98">
            <w:pPr>
              <w:spacing w:after="40"/>
            </w:pPr>
            <w:r>
              <w:rPr>
                <w:sz w:val="19"/>
              </w:rPr>
              <w:t>CVs</w:t>
            </w:r>
          </w:p>
        </w:tc>
        <w:tc>
          <w:tcPr>
            <w:tcW w:w="2240" w:type="dxa"/>
            <w:shd w:val="clear" w:color="auto" w:fill="F7F5FA"/>
          </w:tcPr>
          <w:p w14:paraId="6A9BAC9D" w14:textId="77777777" w:rsidR="00DF6EA5" w:rsidRDefault="00FC2F98">
            <w:pPr>
              <w:spacing w:after="40"/>
            </w:pPr>
            <w:r>
              <w:rPr>
                <w:sz w:val="19"/>
              </w:rPr>
              <w:t>2 pages per named applicant</w:t>
            </w:r>
          </w:p>
        </w:tc>
        <w:tc>
          <w:tcPr>
            <w:tcW w:w="2240" w:type="dxa"/>
            <w:shd w:val="clear" w:color="auto" w:fill="F7F5FA"/>
          </w:tcPr>
          <w:p w14:paraId="7139F54C" w14:textId="77777777" w:rsidR="00DF6EA5" w:rsidRDefault="00FC2F98">
            <w:pPr>
              <w:spacing w:after="40"/>
            </w:pPr>
            <w:r>
              <w:rPr>
                <w:sz w:val="19"/>
              </w:rPr>
              <w:t>2 pages per named applicant</w:t>
            </w:r>
          </w:p>
        </w:tc>
        <w:tc>
          <w:tcPr>
            <w:tcW w:w="2240" w:type="dxa"/>
            <w:shd w:val="clear" w:color="auto" w:fill="F7F5FA"/>
          </w:tcPr>
          <w:p w14:paraId="578464E3" w14:textId="77777777" w:rsidR="00DF6EA5" w:rsidRDefault="00FC2F98">
            <w:pPr>
              <w:spacing w:after="40"/>
            </w:pPr>
            <w:r>
              <w:rPr>
                <w:sz w:val="19"/>
              </w:rPr>
              <w:t>2 pages per named applicant</w:t>
            </w:r>
          </w:p>
        </w:tc>
      </w:tr>
    </w:tbl>
    <w:p w14:paraId="00ABAE15" w14:textId="77777777" w:rsidR="00DF6EA5" w:rsidRDefault="00DF6EA5">
      <w:pPr>
        <w:spacing w:after="40"/>
      </w:pPr>
    </w:p>
    <w:p w14:paraId="554203DD" w14:textId="77777777" w:rsidR="00DF6EA5" w:rsidRDefault="00FC2F98">
      <w:r>
        <w:rPr>
          <w:b/>
        </w:rPr>
        <w:t>CVs.</w:t>
      </w:r>
      <w:r>
        <w:t xml:space="preserve"> Send a CV of up to two pages, in any format including a narrative CV, for the lead and for each co-applicant.</w:t>
      </w:r>
    </w:p>
    <w:p w14:paraId="609B23E1" w14:textId="77777777" w:rsidR="00DF6EA5" w:rsidRDefault="00FC2F98">
      <w:r>
        <w:rPr>
          <w:b/>
        </w:rPr>
        <w:t>Letters of support.</w:t>
      </w:r>
      <w:r>
        <w:t xml:space="preserve"> Include in your PDF a letter from each partner that contributes cash or in-kind support (staff time, facilities, data or materials). Each letter should be one page, on headed paper, signed by someone who can commit the organisation. There is no template. The letter should say:</w:t>
      </w:r>
    </w:p>
    <w:p w14:paraId="3ABC57F0" w14:textId="77777777" w:rsidR="00DF6EA5" w:rsidRDefault="00FC2F98">
      <w:pPr>
        <w:pStyle w:val="ListBullet"/>
        <w:spacing w:after="60"/>
      </w:pPr>
      <w:r>
        <w:t>what the partner will do in the project;</w:t>
      </w:r>
    </w:p>
    <w:p w14:paraId="66866CEC" w14:textId="77777777" w:rsidR="00DF6EA5" w:rsidRDefault="00FC2F98">
      <w:pPr>
        <w:pStyle w:val="ListBullet"/>
        <w:spacing w:after="60"/>
      </w:pPr>
      <w:r>
        <w:t>the type and £ value of its contribution;</w:t>
      </w:r>
    </w:p>
    <w:p w14:paraId="4E0D98AA" w14:textId="77777777" w:rsidR="00DF6EA5" w:rsidRDefault="00FC2F98">
      <w:pPr>
        <w:pStyle w:val="ListBullet"/>
        <w:spacing w:after="60"/>
      </w:pPr>
      <w:r>
        <w:t>why the project matters to the partner;</w:t>
      </w:r>
    </w:p>
    <w:p w14:paraId="7AA6800E" w14:textId="77777777" w:rsidR="00DF6EA5" w:rsidRDefault="00FC2F98">
      <w:pPr>
        <w:pStyle w:val="ListBullet"/>
        <w:spacing w:after="60"/>
      </w:pPr>
      <w:r>
        <w:t>what access to data, facilities, expertise or users it will provide;</w:t>
      </w:r>
    </w:p>
    <w:p w14:paraId="608B922B" w14:textId="77777777" w:rsidR="00DF6EA5" w:rsidRDefault="00FC2F98">
      <w:pPr>
        <w:pStyle w:val="ListBullet"/>
        <w:spacing w:after="60"/>
      </w:pPr>
      <w:r>
        <w:t>what it expects to do next if the project succeeds.</w:t>
      </w:r>
    </w:p>
    <w:p w14:paraId="657369D7" w14:textId="77777777" w:rsidR="00DF6EA5" w:rsidRDefault="00FC2F98">
      <w:pPr>
        <w:pStyle w:val="Heading1"/>
      </w:pPr>
      <w:r>
        <w:t>10. How we assess applications</w:t>
      </w:r>
    </w:p>
    <w:p w14:paraId="17B03E5D" w14:textId="77777777" w:rsidR="00DF6EA5" w:rsidRDefault="00FC2F98">
      <w:r>
        <w:t>We follow UKRI's principles of assessment and decision-making. Decisions are made against the published criteria, by people with the right expertise and no conflicts of interest, and we record how each was reached.</w:t>
      </w:r>
    </w:p>
    <w:p w14:paraId="5F5546C8" w14:textId="77777777" w:rsidR="00DF6EA5" w:rsidRDefault="00FC2F98">
      <w:pPr>
        <w:pStyle w:val="Heading2"/>
      </w:pPr>
      <w:r>
        <w:lastRenderedPageBreak/>
        <w:t>10.1 Eligibility and scope check</w:t>
      </w:r>
    </w:p>
    <w:p w14:paraId="65894E0E" w14:textId="77777777" w:rsidR="00DF6EA5" w:rsidRDefault="00FC2F98">
      <w:r>
        <w:t>The NeuroSYNC operations team checks each application against the eligibility rules in this guidance. The Flexible Funding Board then checks that each application is in scope (Section 3): research that can advance neuromorphic systems and computing. Ineligible or out-of-scope applications are not sent for review, and we will tell the applicants why.</w:t>
      </w:r>
    </w:p>
    <w:p w14:paraId="5F846266" w14:textId="77777777" w:rsidR="00DF6EA5" w:rsidRDefault="00FC2F98">
      <w:pPr>
        <w:pStyle w:val="Heading2"/>
      </w:pPr>
      <w:r>
        <w:t>10.2 External review</w:t>
      </w:r>
    </w:p>
    <w:p w14:paraId="74BFD1CC" w14:textId="77777777" w:rsidR="00DF6EA5" w:rsidRDefault="00FC2F98">
      <w:r>
        <w:t>Each eligible application is reviewed by at least two independent external reviewers with relevant expertise. Members of the Centre's Scientific Advisory Committee and Industrial Advisory Board may suggest reviewers. Every reviewer is screened for conflicts of interest before seeing an application.</w:t>
      </w:r>
    </w:p>
    <w:p w14:paraId="7DE06AC7" w14:textId="77777777" w:rsidR="00DF6EA5" w:rsidRDefault="00FC2F98">
      <w:pPr>
        <w:pStyle w:val="Heading2"/>
      </w:pPr>
      <w:r>
        <w:t>10.3 Criteria and weights</w:t>
      </w:r>
    </w:p>
    <w:tbl>
      <w:tblPr>
        <w:tblW w:w="9411" w:type="dxa"/>
        <w:jc w:val="center"/>
        <w:tblBorders>
          <w:top w:val="single" w:sz="4" w:space="0" w:color="BFB3D1"/>
          <w:left w:val="single" w:sz="4" w:space="0" w:color="BFB3D1"/>
          <w:bottom w:val="single" w:sz="4" w:space="0" w:color="BFB3D1"/>
          <w:right w:val="single" w:sz="4" w:space="0" w:color="BFB3D1"/>
          <w:insideH w:val="single" w:sz="4" w:space="0" w:color="BFB3D1"/>
          <w:insideV w:val="single" w:sz="4" w:space="0" w:color="BFB3D1"/>
        </w:tblBorders>
        <w:tblLayout w:type="fixed"/>
        <w:tblLook w:val="04A0" w:firstRow="1" w:lastRow="0" w:firstColumn="1" w:lastColumn="0" w:noHBand="0" w:noVBand="1"/>
      </w:tblPr>
      <w:tblGrid>
        <w:gridCol w:w="1025"/>
        <w:gridCol w:w="1024"/>
        <w:gridCol w:w="6154"/>
        <w:gridCol w:w="1208"/>
      </w:tblGrid>
      <w:tr w:rsidR="00DF6EA5" w14:paraId="288A1D47" w14:textId="77777777">
        <w:trPr>
          <w:jc w:val="center"/>
        </w:trPr>
        <w:tc>
          <w:tcPr>
            <w:tcW w:w="1024" w:type="dxa"/>
            <w:shd w:val="clear" w:color="auto" w:fill="5B2D90"/>
          </w:tcPr>
          <w:p w14:paraId="256D553F" w14:textId="77777777" w:rsidR="00DF6EA5" w:rsidRDefault="00FC2F98">
            <w:pPr>
              <w:spacing w:after="40"/>
            </w:pPr>
            <w:r>
              <w:rPr>
                <w:b/>
                <w:color w:val="FFFFFF"/>
                <w:sz w:val="19"/>
              </w:rPr>
              <w:t>Criterion</w:t>
            </w:r>
          </w:p>
        </w:tc>
        <w:tc>
          <w:tcPr>
            <w:tcW w:w="1024" w:type="dxa"/>
            <w:shd w:val="clear" w:color="auto" w:fill="5B2D90"/>
          </w:tcPr>
          <w:p w14:paraId="6E6C1C96" w14:textId="77777777" w:rsidR="00DF6EA5" w:rsidRDefault="00FC2F98">
            <w:pPr>
              <w:spacing w:after="40"/>
            </w:pPr>
            <w:r>
              <w:rPr>
                <w:b/>
                <w:color w:val="FFFFFF"/>
                <w:sz w:val="19"/>
              </w:rPr>
              <w:t>Weight</w:t>
            </w:r>
          </w:p>
        </w:tc>
        <w:tc>
          <w:tcPr>
            <w:tcW w:w="6153" w:type="dxa"/>
            <w:shd w:val="clear" w:color="auto" w:fill="5B2D90"/>
          </w:tcPr>
          <w:p w14:paraId="4491AA5E" w14:textId="77777777" w:rsidR="00DF6EA5" w:rsidRDefault="00FC2F98">
            <w:pPr>
              <w:spacing w:after="40"/>
            </w:pPr>
            <w:r>
              <w:rPr>
                <w:b/>
                <w:color w:val="FFFFFF"/>
                <w:sz w:val="19"/>
              </w:rPr>
              <w:t>What reviewers look for</w:t>
            </w:r>
          </w:p>
        </w:tc>
        <w:tc>
          <w:tcPr>
            <w:tcW w:w="1208" w:type="dxa"/>
            <w:shd w:val="clear" w:color="auto" w:fill="5B2D90"/>
          </w:tcPr>
          <w:p w14:paraId="2341A600" w14:textId="77777777" w:rsidR="00DF6EA5" w:rsidRDefault="00FC2F98">
            <w:pPr>
              <w:spacing w:after="40"/>
            </w:pPr>
            <w:r>
              <w:rPr>
                <w:b/>
                <w:color w:val="FFFFFF"/>
                <w:sz w:val="19"/>
              </w:rPr>
              <w:t>Main sections of the form</w:t>
            </w:r>
          </w:p>
        </w:tc>
      </w:tr>
      <w:tr w:rsidR="00DF6EA5" w14:paraId="2553E13E" w14:textId="77777777">
        <w:trPr>
          <w:jc w:val="center"/>
        </w:trPr>
        <w:tc>
          <w:tcPr>
            <w:tcW w:w="1024" w:type="dxa"/>
          </w:tcPr>
          <w:p w14:paraId="5591E703" w14:textId="77777777" w:rsidR="00DF6EA5" w:rsidRDefault="00FC2F98">
            <w:pPr>
              <w:spacing w:after="40"/>
            </w:pPr>
            <w:r>
              <w:rPr>
                <w:sz w:val="19"/>
              </w:rPr>
              <w:t>Innovation</w:t>
            </w:r>
          </w:p>
        </w:tc>
        <w:tc>
          <w:tcPr>
            <w:tcW w:w="1024" w:type="dxa"/>
          </w:tcPr>
          <w:p w14:paraId="59583D19" w14:textId="77777777" w:rsidR="00DF6EA5" w:rsidRDefault="00FC2F98">
            <w:pPr>
              <w:spacing w:after="40"/>
            </w:pPr>
            <w:r>
              <w:rPr>
                <w:sz w:val="19"/>
              </w:rPr>
              <w:t>40%</w:t>
            </w:r>
          </w:p>
        </w:tc>
        <w:tc>
          <w:tcPr>
            <w:tcW w:w="6153" w:type="dxa"/>
          </w:tcPr>
          <w:p w14:paraId="292CCE36" w14:textId="77777777" w:rsidR="00DF6EA5" w:rsidRDefault="00FC2F98">
            <w:pPr>
              <w:spacing w:after="40"/>
            </w:pPr>
            <w:r>
              <w:rPr>
                <w:sz w:val="19"/>
              </w:rPr>
              <w:t>The novelty of the project and its potential to advance neuromorphic computing: an ambitious idea, sound science, a clear and feasible approach, and a level of risk justified by the potential reward</w:t>
            </w:r>
          </w:p>
        </w:tc>
        <w:tc>
          <w:tcPr>
            <w:tcW w:w="1208" w:type="dxa"/>
          </w:tcPr>
          <w:p w14:paraId="36EFB733" w14:textId="77777777" w:rsidR="00DF6EA5" w:rsidRDefault="00FC2F98">
            <w:pPr>
              <w:spacing w:after="40"/>
            </w:pPr>
            <w:r>
              <w:rPr>
                <w:sz w:val="19"/>
              </w:rPr>
              <w:t>3.1, 3.2, 3.5</w:t>
            </w:r>
          </w:p>
        </w:tc>
      </w:tr>
      <w:tr w:rsidR="00DF6EA5" w14:paraId="627EB13A" w14:textId="77777777">
        <w:trPr>
          <w:jc w:val="center"/>
        </w:trPr>
        <w:tc>
          <w:tcPr>
            <w:tcW w:w="1024" w:type="dxa"/>
            <w:shd w:val="clear" w:color="auto" w:fill="F7F5FA"/>
          </w:tcPr>
          <w:p w14:paraId="1DF4C677" w14:textId="77777777" w:rsidR="00DF6EA5" w:rsidRDefault="00FC2F98">
            <w:pPr>
              <w:spacing w:after="40"/>
            </w:pPr>
            <w:r>
              <w:rPr>
                <w:sz w:val="19"/>
              </w:rPr>
              <w:t>Impact</w:t>
            </w:r>
          </w:p>
        </w:tc>
        <w:tc>
          <w:tcPr>
            <w:tcW w:w="1024" w:type="dxa"/>
            <w:shd w:val="clear" w:color="auto" w:fill="F7F5FA"/>
          </w:tcPr>
          <w:p w14:paraId="526E8CE2" w14:textId="77777777" w:rsidR="00DF6EA5" w:rsidRDefault="00FC2F98">
            <w:pPr>
              <w:spacing w:after="40"/>
            </w:pPr>
            <w:r>
              <w:rPr>
                <w:sz w:val="19"/>
              </w:rPr>
              <w:t>30%</w:t>
            </w:r>
          </w:p>
        </w:tc>
        <w:tc>
          <w:tcPr>
            <w:tcW w:w="6153" w:type="dxa"/>
            <w:shd w:val="clear" w:color="auto" w:fill="F7F5FA"/>
          </w:tcPr>
          <w:p w14:paraId="761FA924" w14:textId="77777777" w:rsidR="00DF6EA5" w:rsidRDefault="00FC2F98">
            <w:pPr>
              <w:spacing w:after="40"/>
            </w:pPr>
            <w:r>
              <w:rPr>
                <w:sz w:val="19"/>
              </w:rPr>
              <w:t>The project's potential to lead to applications: fit with the roadmap challenges and industry needs; potential links with other NeuroSYNC work; partner support, judged relative to the project type and stage; and the prospect of co-funding or a larger follow-on project</w:t>
            </w:r>
          </w:p>
        </w:tc>
        <w:tc>
          <w:tcPr>
            <w:tcW w:w="1208" w:type="dxa"/>
            <w:shd w:val="clear" w:color="auto" w:fill="F7F5FA"/>
          </w:tcPr>
          <w:p w14:paraId="37A8D1A0" w14:textId="77777777" w:rsidR="00DF6EA5" w:rsidRDefault="00FC2F98">
            <w:pPr>
              <w:spacing w:after="40"/>
            </w:pPr>
            <w:r>
              <w:rPr>
                <w:sz w:val="19"/>
              </w:rPr>
              <w:t>3.3</w:t>
            </w:r>
          </w:p>
        </w:tc>
      </w:tr>
      <w:tr w:rsidR="00DF6EA5" w14:paraId="1D691B53" w14:textId="77777777">
        <w:trPr>
          <w:jc w:val="center"/>
        </w:trPr>
        <w:tc>
          <w:tcPr>
            <w:tcW w:w="1024" w:type="dxa"/>
          </w:tcPr>
          <w:p w14:paraId="3161F090" w14:textId="77777777" w:rsidR="00DF6EA5" w:rsidRDefault="00FC2F98">
            <w:pPr>
              <w:spacing w:after="40"/>
            </w:pPr>
            <w:r>
              <w:rPr>
                <w:sz w:val="19"/>
              </w:rPr>
              <w:t>Team</w:t>
            </w:r>
          </w:p>
        </w:tc>
        <w:tc>
          <w:tcPr>
            <w:tcW w:w="1024" w:type="dxa"/>
          </w:tcPr>
          <w:p w14:paraId="15568CC5" w14:textId="77777777" w:rsidR="00DF6EA5" w:rsidRDefault="00FC2F98">
            <w:pPr>
              <w:spacing w:after="40"/>
            </w:pPr>
            <w:r>
              <w:rPr>
                <w:sz w:val="19"/>
              </w:rPr>
              <w:t>30%</w:t>
            </w:r>
          </w:p>
        </w:tc>
        <w:tc>
          <w:tcPr>
            <w:tcW w:w="6153" w:type="dxa"/>
          </w:tcPr>
          <w:p w14:paraId="34632DD8" w14:textId="77777777" w:rsidR="00DF6EA5" w:rsidRDefault="00FC2F98">
            <w:pPr>
              <w:spacing w:after="40"/>
            </w:pPr>
            <w:r>
              <w:rPr>
                <w:sz w:val="19"/>
              </w:rPr>
              <w:t>The team's capability to deliver the project: the right expertise, judged relative to career stage; the quality and added value of the collaboration; leadership and development of early-career researchers; sound management and justified resources</w:t>
            </w:r>
          </w:p>
        </w:tc>
        <w:tc>
          <w:tcPr>
            <w:tcW w:w="1208" w:type="dxa"/>
          </w:tcPr>
          <w:p w14:paraId="5BE28DDC" w14:textId="77777777" w:rsidR="00DF6EA5" w:rsidRDefault="00FC2F98">
            <w:pPr>
              <w:spacing w:after="40"/>
            </w:pPr>
            <w:r>
              <w:rPr>
                <w:sz w:val="19"/>
              </w:rPr>
              <w:t>2, 3.4, 3.5, 4</w:t>
            </w:r>
          </w:p>
        </w:tc>
      </w:tr>
    </w:tbl>
    <w:p w14:paraId="6449EFEE" w14:textId="77777777" w:rsidR="00DF6EA5" w:rsidRDefault="00DF6EA5">
      <w:pPr>
        <w:spacing w:after="40"/>
      </w:pPr>
    </w:p>
    <w:p w14:paraId="038660D2" w14:textId="77777777" w:rsidR="00DF6EA5" w:rsidRDefault="00FC2F98">
      <w:r>
        <w:t>Reviewers score each criterion on the six-point scale in Annex B.</w:t>
      </w:r>
    </w:p>
    <w:p w14:paraId="553D0638" w14:textId="77777777" w:rsidR="00DF6EA5" w:rsidRDefault="00FC2F98">
      <w:pPr>
        <w:pStyle w:val="Heading2"/>
      </w:pPr>
      <w:r>
        <w:t>10.4 The Flexible Funding Board</w:t>
      </w:r>
    </w:p>
    <w:p w14:paraId="21247973" w14:textId="1AB82CFE" w:rsidR="00DF6EA5" w:rsidRDefault="00FC2F98">
      <w:r>
        <w:t>The Flexible Funding Board (FFB) makes the funding recommendations, which the NeuroSYNC Steering Committee approves. Its members are the NeuroSYNC Director (chair), the Centre Manager, a representative of the Scientific Advisory Committee, a representative of the Industrial Advisory Board and an equality, diversity and inclusion (EDI) expert approved by the Steering Committee. The Centre Manager also acts as secretary to the Board</w:t>
      </w:r>
      <w:r w:rsidR="00615063">
        <w:t>.</w:t>
      </w:r>
    </w:p>
    <w:p w14:paraId="0F53E1DC" w14:textId="4F045F01" w:rsidR="00DF6EA5" w:rsidRDefault="00FC2F98">
      <w:r>
        <w:t xml:space="preserve">The Board agrees a final score for each criterion from the reviewers' scores and </w:t>
      </w:r>
      <w:proofErr w:type="gramStart"/>
      <w:r>
        <w:t>comments, and</w:t>
      </w:r>
      <w:proofErr w:type="gramEnd"/>
      <w:r>
        <w:t xml:space="preserve"> ranks applications within each project type by weighted score. It does not give an advantage to applicants because they are NeuroSYNC members or partners. Where applications score equally, the Board may consider the balance of the portfolio across the roadmap challenges. The Board also agrees a ranked reserve list.</w:t>
      </w:r>
    </w:p>
    <w:p w14:paraId="200C676D" w14:textId="77777777" w:rsidR="00DF6EA5" w:rsidRDefault="00FC2F98">
      <w:pPr>
        <w:pStyle w:val="Heading2"/>
      </w:pPr>
      <w:r>
        <w:t>10.5 Conflicts of interest</w:t>
      </w:r>
    </w:p>
    <w:p w14:paraId="16E88469" w14:textId="77777777" w:rsidR="00DF6EA5" w:rsidRDefault="00FC2F98">
      <w:r>
        <w:t xml:space="preserve">Before seeing any application, every reviewer and Board member declares any personal, professional, financial or institutional interest. In this section, "applicant" means the lead, any co-applicant and any partner. Anyone named on an application, employed at the same organisation as an applicant, or otherwise conflicted takes no part in reviewing, discussing, scoring or ranking it. The Director and the Centre Manager both work at Aston University, so neither takes part in decisions on applications involving Aston. The Director chairs only where they have no conflict; otherwise an </w:t>
      </w:r>
      <w:r>
        <w:lastRenderedPageBreak/>
        <w:t>unconflicted representative of the Scientific Advisory Committee chairs. Where a project type includes applications involving Aston, the Scientific Advisory Committee representative chairs the ranking of that type, and the Director and Centre Manager do not take part in it. At least three unconflicted members must take part in each decision, and we appoint independent alternates where needed. Board members who discuss an idea with prospective applicants before the deadline declare it. We record all declarations and decisions.</w:t>
      </w:r>
    </w:p>
    <w:p w14:paraId="712C7261" w14:textId="77777777" w:rsidR="00DF6EA5" w:rsidRDefault="00FC2F98">
      <w:pPr>
        <w:pStyle w:val="Heading2"/>
      </w:pPr>
      <w:r>
        <w:t>10.6 Decisions and feedback</w:t>
      </w:r>
    </w:p>
    <w:p w14:paraId="512CE2F5" w14:textId="11B1FEFA" w:rsidR="00DF6EA5" w:rsidRDefault="00FC2F98">
      <w:r>
        <w:t xml:space="preserve">All applicants whose proposals are reviewed receive written feedback, including the reviewers' </w:t>
      </w:r>
      <w:r w:rsidRPr="00B14A23">
        <w:t>comments and a short summary from the Board. Decisions approved by the Steering Committee are final. If you think the published process was not followed, write to neuromorphic@aston.ac.uk within [10 working days] of the decision and the chair of the NeuroSYNC Steering Committee will consider it.</w:t>
      </w:r>
    </w:p>
    <w:p w14:paraId="420BA440" w14:textId="77777777" w:rsidR="00DF6EA5" w:rsidRDefault="00FC2F98">
      <w:r>
        <w:t>After the decisions, we will publish the funded projects, the organisations involved and the award amounts, with a short account of the process.</w:t>
      </w:r>
    </w:p>
    <w:p w14:paraId="53A8FD85" w14:textId="77777777" w:rsidR="00DF6EA5" w:rsidRDefault="00FC2F98">
      <w:pPr>
        <w:pStyle w:val="Heading2"/>
      </w:pPr>
      <w:r>
        <w:t>10.7 Checks before an award</w:t>
      </w:r>
    </w:p>
    <w:p w14:paraId="1512C218" w14:textId="77777777" w:rsidR="00DF6EA5" w:rsidRDefault="00FC2F98">
      <w:r>
        <w:t>Neuromorphic hardware, sensing and AI can have security and dual-use applications. Before an award is confirmed, Aston University, as holder of the NeuroSYNC grant, and the lead organisation carry out trusted research and export-control checks where relevant. These may cover the National Security and Investment Act 2021 and, for researchers who need it, the Academic Technology Approval Scheme (ATAS). We may ask for more information on partners, data security or ethics. Offers depend on these checks.</w:t>
      </w:r>
    </w:p>
    <w:p w14:paraId="0BACBFFB" w14:textId="77777777" w:rsidR="00DF6EA5" w:rsidRDefault="00FC2F98">
      <w:pPr>
        <w:pStyle w:val="Heading1"/>
      </w:pPr>
      <w:r>
        <w:t>11. If your project is funded</w:t>
      </w:r>
    </w:p>
    <w:p w14:paraId="7D4DA891" w14:textId="4CDEE7F6" w:rsidR="00DF6EA5" w:rsidRDefault="00FC2F98">
      <w:pPr>
        <w:pStyle w:val="ListBullet"/>
        <w:spacing w:after="60"/>
      </w:pPr>
      <w:r>
        <w:rPr>
          <w:b/>
        </w:rPr>
        <w:t>Agreement.</w:t>
      </w:r>
      <w:r>
        <w:t xml:space="preserve"> Aston University, which holds the NeuroSYNC grant, will issue an award letter and a sub-award </w:t>
      </w:r>
      <w:r w:rsidRPr="00066145">
        <w:t xml:space="preserve">agreement </w:t>
      </w:r>
      <w:r w:rsidR="002474CD" w:rsidRPr="00066145">
        <w:t>t</w:t>
      </w:r>
      <w:r w:rsidRPr="00066145">
        <w:t xml:space="preserve">o the lead organisation, which passes funding to other funded organisations / to each funded </w:t>
      </w:r>
      <w:proofErr w:type="spellStart"/>
      <w:r w:rsidRPr="00066145">
        <w:t>organisation</w:t>
      </w:r>
      <w:proofErr w:type="spellEnd"/>
      <w:r w:rsidRPr="00066145">
        <w:t>.</w:t>
      </w:r>
      <w:r>
        <w:t xml:space="preserve"> The terms follow the EPSRC grant conditions. We publish the draft terms on the call page so that research offices can check them before the deadline. Where several organisations take part, they must sign a collaboration agreement between themselves before the project starts. </w:t>
      </w:r>
    </w:p>
    <w:p w14:paraId="2748BF35" w14:textId="2360AB78" w:rsidR="00DF6EA5" w:rsidRDefault="00FC2F98">
      <w:pPr>
        <w:pStyle w:val="ListBullet"/>
        <w:spacing w:after="60"/>
      </w:pPr>
      <w:r>
        <w:rPr>
          <w:b/>
        </w:rPr>
        <w:t>Payment.</w:t>
      </w:r>
      <w:r>
        <w:t xml:space="preserve"> </w:t>
      </w:r>
      <w:r w:rsidRPr="00711F4B">
        <w:t>Payment schedule to confirm with Aston finance, e.g. quarterly in arrears, with the final 10% paid when the final report is accepted.</w:t>
      </w:r>
      <w:r>
        <w:t xml:space="preserve"> Unspent funds are returned.</w:t>
      </w:r>
    </w:p>
    <w:p w14:paraId="2CDC29C0" w14:textId="47FF1A8B" w:rsidR="00DF6EA5" w:rsidRDefault="00FC2F98">
      <w:pPr>
        <w:pStyle w:val="ListBullet"/>
        <w:spacing w:after="60"/>
      </w:pPr>
      <w:r>
        <w:rPr>
          <w:b/>
        </w:rPr>
        <w:t>Start and end.</w:t>
      </w:r>
      <w:r>
        <w:t xml:space="preserve"> Projects start between </w:t>
      </w:r>
      <w:r w:rsidRPr="005E4C68">
        <w:t>1 February and 1 March 2027, once the sub-award agreement is signed, and must finish by 30 April 2029. We cannot extend projects beyond this date, because the Centre's grant ends on 31 May 2029.</w:t>
      </w:r>
    </w:p>
    <w:p w14:paraId="153A67E5" w14:textId="77777777" w:rsidR="00DF6EA5" w:rsidRDefault="00FC2F98">
      <w:pPr>
        <w:pStyle w:val="ListBullet"/>
        <w:spacing w:after="60"/>
      </w:pPr>
      <w:r>
        <w:rPr>
          <w:b/>
        </w:rPr>
        <w:t>Reporting.</w:t>
      </w:r>
      <w:r>
        <w:t xml:space="preserve"> A short mid-term report, a final report within one month of the end of the project (and by 31 May 2029 at the latest), and a final statement of expenditure broken down by cost heading. The Flexible Funding Board reviews the reports. You will also send us outputs and outcomes (publications, patents, prototypes, collaborations, follow-on funding, and the progress of early-career researchers and researchers from under-represented groups) so that NeuroSYNC can report to EPSRC, including through Researchfish.</w:t>
      </w:r>
    </w:p>
    <w:p w14:paraId="7CB0780E" w14:textId="77777777" w:rsidR="00DF6EA5" w:rsidRDefault="00FC2F98">
      <w:pPr>
        <w:pStyle w:val="ListBullet"/>
        <w:spacing w:after="60"/>
      </w:pPr>
      <w:r>
        <w:rPr>
          <w:b/>
        </w:rPr>
        <w:t>Taking part in the Centre.</w:t>
      </w:r>
      <w:r>
        <w:t xml:space="preserve"> EPSRC expects funded projects to engage with the Centre's wider programme. We will ask funded teams to present their work at NeuroSYNC events, to contribute to the roadmap where relevant, and to help us write a short case study.</w:t>
      </w:r>
    </w:p>
    <w:p w14:paraId="18FAB650" w14:textId="77777777" w:rsidR="00DF6EA5" w:rsidRDefault="00FC2F98">
      <w:pPr>
        <w:pStyle w:val="ListBullet"/>
        <w:spacing w:after="60"/>
      </w:pPr>
      <w:r>
        <w:rPr>
          <w:b/>
        </w:rPr>
        <w:t>Acknowledgement.</w:t>
      </w:r>
      <w:r>
        <w:t xml:space="preserve"> Acknowledge the NeuroSYNC Flexible Fund and EPSRC in all outputs, for example: "This work was supported by the NeuroSYNC Flexible Fund (EPSRC grant UKRI982)".</w:t>
      </w:r>
    </w:p>
    <w:p w14:paraId="6530CCE3" w14:textId="77777777" w:rsidR="00DF6EA5" w:rsidRDefault="00FC2F98">
      <w:pPr>
        <w:pStyle w:val="ListBullet"/>
        <w:spacing w:after="60"/>
      </w:pPr>
      <w:r>
        <w:rPr>
          <w:b/>
        </w:rPr>
        <w:lastRenderedPageBreak/>
        <w:t>Open access and data.</w:t>
      </w:r>
      <w:r>
        <w:t xml:space="preserve"> Publications must follow the UKRI open access policy. Research data must be managed in line with EPSRC's research data policy and shared following the FAIR principles unless there is a commercial or legal reason not to.</w:t>
      </w:r>
    </w:p>
    <w:p w14:paraId="1C3118A7" w14:textId="77777777" w:rsidR="00DF6EA5" w:rsidRDefault="00FC2F98">
      <w:pPr>
        <w:pStyle w:val="ListBullet"/>
        <w:spacing w:after="60"/>
      </w:pPr>
      <w:r>
        <w:rPr>
          <w:b/>
        </w:rPr>
        <w:t>Trusted research.</w:t>
      </w:r>
      <w:r>
        <w:t xml:space="preserve"> The lead organisation is responsible, with Aston University, for trusted research and export-control checks on the project and its partners, before the project starts and if partners change.</w:t>
      </w:r>
    </w:p>
    <w:p w14:paraId="228B7FA2" w14:textId="2BD9CAEA" w:rsidR="00DF6EA5" w:rsidRDefault="00FC2F98">
      <w:pPr>
        <w:pStyle w:val="ListBullet"/>
        <w:spacing w:after="60"/>
      </w:pPr>
      <w:r>
        <w:rPr>
          <w:b/>
        </w:rPr>
        <w:t>Intellectual property.</w:t>
      </w:r>
      <w:r>
        <w:t xml:space="preserve"> NeuroSYNC does not take ownership of intellectual property arising from funded projects. Ownership and use are set by the sub-award agreement and by the collaboration agreement between the </w:t>
      </w:r>
      <w:proofErr w:type="spellStart"/>
      <w:r>
        <w:t>organisations</w:t>
      </w:r>
      <w:proofErr w:type="spellEnd"/>
      <w:r>
        <w:t xml:space="preserve"> in the project.</w:t>
      </w:r>
    </w:p>
    <w:p w14:paraId="5CAC2FD5" w14:textId="77777777" w:rsidR="00DF6EA5" w:rsidRDefault="00FC2F98">
      <w:pPr>
        <w:pStyle w:val="ListBullet"/>
        <w:spacing w:after="60"/>
      </w:pPr>
      <w:r>
        <w:rPr>
          <w:b/>
        </w:rPr>
        <w:t>Changes.</w:t>
      </w:r>
      <w:r>
        <w:t xml:space="preserve"> Tell us straight away about any change to the team, scope, timing or budget, for example if the research associate leaves or the lead moves organisation. We will agree the next step with you; an award cannot move to an organisation that is not eligible for UKRI funding.</w:t>
      </w:r>
    </w:p>
    <w:p w14:paraId="54B3F13E" w14:textId="77777777" w:rsidR="00DF6EA5" w:rsidRDefault="00FC2F98">
      <w:pPr>
        <w:pStyle w:val="Heading1"/>
      </w:pPr>
      <w:r>
        <w:t>12. Equality, diversity and inclusion</w:t>
      </w:r>
    </w:p>
    <w:p w14:paraId="163AC2D3" w14:textId="77777777" w:rsidR="00DF6EA5" w:rsidRDefault="00FC2F98">
      <w:r>
        <w:t>We want the fund to reach the whole UK research community. We welcome applications from people of all backgrounds, and particularly from groups under-represented in STEM. If you need the documents in another format or need adjustments to take part, tell us at neuromorphic@aston.ac.uk.</w:t>
      </w:r>
    </w:p>
    <w:p w14:paraId="6750D052" w14:textId="77777777" w:rsidR="00DF6EA5" w:rsidRDefault="00FC2F98">
      <w:r>
        <w:t>The optional EDI context section of the form is seen only by the Board's EDI member. If it is relevant, the EDI member may ask the Board, without sharing details, to take the circumstances into account when it considers track record. Because this section may include health or disability information, we only use it with your explicit consent, which you give in the form.</w:t>
      </w:r>
    </w:p>
    <w:p w14:paraId="2254D86C" w14:textId="014BDFB9" w:rsidR="00DF6EA5" w:rsidRDefault="00FC2F98">
      <w:r>
        <w:t xml:space="preserve">After you apply, we will invite each lead applicant to complete a short, confidential equality monitoring survey. It is kept separate from your application, reviewers and the Board do not see it, and it plays no part in assessment. We use the results only to check whether the fund reaches the whole community and to report against our 25% target. </w:t>
      </w:r>
    </w:p>
    <w:p w14:paraId="2BFF59AA" w14:textId="77777777" w:rsidR="00DF6EA5" w:rsidRDefault="00FC2F98">
      <w:pPr>
        <w:pStyle w:val="Heading1"/>
      </w:pPr>
      <w:r>
        <w:t>13. How we use your information</w:t>
      </w:r>
    </w:p>
    <w:p w14:paraId="7E1F8B99" w14:textId="64DF9A35" w:rsidR="00DF6EA5" w:rsidRDefault="00FC2F98">
      <w:r>
        <w:t xml:space="preserve">Aston University administers the Flexible Fund on behalf of NeuroSYNC. We use the information in your application to run this call: to check eligibility, arrange review, make decisions and manage awards. We share applications in confidence with </w:t>
      </w:r>
      <w:r w:rsidRPr="00EE2E38">
        <w:t>reviewers and Board members. If your project is funded, we publish the title, public summary, team, organisations and award amount, and we report on the award to EPSRC. We keep application records for the life of the grant plus six years in line with Aston University's data protection policy. As a public authority, Aston University may have to disclose information under the Freedom of Information Act 2000; mark any commercially sensitive content in your application and we will take this into account.</w:t>
      </w:r>
      <w:r>
        <w:t xml:space="preserve"> </w:t>
      </w:r>
    </w:p>
    <w:p w14:paraId="1B3B594E" w14:textId="77777777" w:rsidR="00DF6EA5" w:rsidRDefault="00FC2F98">
      <w:pPr>
        <w:pStyle w:val="Heading1"/>
      </w:pPr>
      <w:r>
        <w:t>14. Contact</w:t>
      </w:r>
    </w:p>
    <w:p w14:paraId="4EDDCE64" w14:textId="77777777" w:rsidR="00DF6EA5" w:rsidRDefault="00FC2F98">
      <w:r>
        <w:t xml:space="preserve">Email </w:t>
      </w:r>
      <w:r>
        <w:rPr>
          <w:b/>
        </w:rPr>
        <w:t>neuromorphic@aston.ac.uk</w:t>
      </w:r>
      <w:r>
        <w:t xml:space="preserve"> with any questions. To keep the process fair, we add every question and answer to the FAQ on the call page, without naming who asked.</w:t>
      </w:r>
    </w:p>
    <w:p w14:paraId="2E43AFFD" w14:textId="77777777" w:rsidR="00DF6EA5" w:rsidRDefault="00FC2F98">
      <w:r>
        <w:br w:type="page"/>
      </w:r>
    </w:p>
    <w:p w14:paraId="75C358B2" w14:textId="77777777" w:rsidR="00DF6EA5" w:rsidRDefault="00FC2F98">
      <w:pPr>
        <w:pStyle w:val="Heading1"/>
      </w:pPr>
      <w:r>
        <w:lastRenderedPageBreak/>
        <w:t>Annex A. NeuroSYNC lead investigators</w:t>
      </w:r>
    </w:p>
    <w:p w14:paraId="20049AD3" w14:textId="01E3AA05" w:rsidR="00DF6EA5" w:rsidRDefault="00FC2F98" w:rsidP="00211A20">
      <w:r>
        <w:t xml:space="preserve">If you would like to explore a collaboration, contact any of these researchers directly, or email neuromorphic@aston.ac.uk and we will introduce you to those working in your area. Collaboration with NeuroSYNC is welcome but not required. Other NeuroSYNC researchers at these universities are listed on our </w:t>
      </w:r>
      <w:hyperlink r:id="rId8" w:history="1">
        <w:r w:rsidR="002F4664" w:rsidRPr="00997FE1">
          <w:rPr>
            <w:rStyle w:val="Hyperlink"/>
          </w:rPr>
          <w:t>https://www.uk-neuromorphic-centre.net/team</w:t>
        </w:r>
      </w:hyperlink>
      <w:r w:rsidR="002F4664">
        <w:t xml:space="preserve"> </w:t>
      </w:r>
    </w:p>
    <w:p w14:paraId="6BB45DC0" w14:textId="77777777" w:rsidR="00DF6EA5" w:rsidRDefault="00FC2F98">
      <w:pPr>
        <w:pStyle w:val="Heading1"/>
      </w:pPr>
      <w:r>
        <w:t>Annex B. Scoring scale</w:t>
      </w:r>
    </w:p>
    <w:tbl>
      <w:tblPr>
        <w:tblW w:w="9411" w:type="dxa"/>
        <w:jc w:val="center"/>
        <w:tblBorders>
          <w:top w:val="single" w:sz="4" w:space="0" w:color="BFB3D1"/>
          <w:left w:val="single" w:sz="4" w:space="0" w:color="BFB3D1"/>
          <w:bottom w:val="single" w:sz="4" w:space="0" w:color="BFB3D1"/>
          <w:right w:val="single" w:sz="4" w:space="0" w:color="BFB3D1"/>
          <w:insideH w:val="single" w:sz="4" w:space="0" w:color="BFB3D1"/>
          <w:insideV w:val="single" w:sz="4" w:space="0" w:color="BFB3D1"/>
        </w:tblBorders>
        <w:tblLayout w:type="fixed"/>
        <w:tblLook w:val="04A0" w:firstRow="1" w:lastRow="0" w:firstColumn="1" w:lastColumn="0" w:noHBand="0" w:noVBand="1"/>
      </w:tblPr>
      <w:tblGrid>
        <w:gridCol w:w="1287"/>
        <w:gridCol w:w="8124"/>
      </w:tblGrid>
      <w:tr w:rsidR="00DF6EA5" w14:paraId="61127D97" w14:textId="77777777">
        <w:trPr>
          <w:jc w:val="center"/>
        </w:trPr>
        <w:tc>
          <w:tcPr>
            <w:tcW w:w="1287" w:type="dxa"/>
            <w:shd w:val="clear" w:color="auto" w:fill="5B2D90"/>
          </w:tcPr>
          <w:p w14:paraId="017D8B6F" w14:textId="77777777" w:rsidR="00DF6EA5" w:rsidRDefault="00FC2F98">
            <w:pPr>
              <w:spacing w:after="40"/>
            </w:pPr>
            <w:r>
              <w:rPr>
                <w:b/>
                <w:color w:val="FFFFFF"/>
                <w:sz w:val="19"/>
              </w:rPr>
              <w:t>Score</w:t>
            </w:r>
          </w:p>
        </w:tc>
        <w:tc>
          <w:tcPr>
            <w:tcW w:w="8123" w:type="dxa"/>
            <w:shd w:val="clear" w:color="auto" w:fill="5B2D90"/>
          </w:tcPr>
          <w:p w14:paraId="485ADE64" w14:textId="77777777" w:rsidR="00DF6EA5" w:rsidRDefault="00FC2F98">
            <w:pPr>
              <w:spacing w:after="40"/>
            </w:pPr>
            <w:r>
              <w:rPr>
                <w:b/>
                <w:color w:val="FFFFFF"/>
                <w:sz w:val="19"/>
              </w:rPr>
              <w:t>Meaning</w:t>
            </w:r>
          </w:p>
        </w:tc>
      </w:tr>
      <w:tr w:rsidR="00DF6EA5" w14:paraId="2EBB7D91" w14:textId="77777777">
        <w:trPr>
          <w:jc w:val="center"/>
        </w:trPr>
        <w:tc>
          <w:tcPr>
            <w:tcW w:w="1287" w:type="dxa"/>
          </w:tcPr>
          <w:p w14:paraId="1D68F84D" w14:textId="77777777" w:rsidR="00DF6EA5" w:rsidRDefault="00FC2F98">
            <w:pPr>
              <w:spacing w:after="40"/>
            </w:pPr>
            <w:r>
              <w:rPr>
                <w:sz w:val="19"/>
              </w:rPr>
              <w:t>6</w:t>
            </w:r>
          </w:p>
        </w:tc>
        <w:tc>
          <w:tcPr>
            <w:tcW w:w="8123" w:type="dxa"/>
          </w:tcPr>
          <w:p w14:paraId="5F0A71C5" w14:textId="77777777" w:rsidR="00DF6EA5" w:rsidRDefault="00FC2F98">
            <w:pPr>
              <w:spacing w:after="40"/>
            </w:pPr>
            <w:r>
              <w:rPr>
                <w:sz w:val="19"/>
              </w:rPr>
              <w:t>Exceptional: outstanding on this criterion, with no significant weaknesses</w:t>
            </w:r>
          </w:p>
        </w:tc>
      </w:tr>
      <w:tr w:rsidR="00DF6EA5" w14:paraId="59835810" w14:textId="77777777">
        <w:trPr>
          <w:jc w:val="center"/>
        </w:trPr>
        <w:tc>
          <w:tcPr>
            <w:tcW w:w="1287" w:type="dxa"/>
            <w:shd w:val="clear" w:color="auto" w:fill="F7F5FA"/>
          </w:tcPr>
          <w:p w14:paraId="69CCE5D6" w14:textId="77777777" w:rsidR="00DF6EA5" w:rsidRDefault="00FC2F98">
            <w:pPr>
              <w:spacing w:after="40"/>
            </w:pPr>
            <w:r>
              <w:rPr>
                <w:sz w:val="19"/>
              </w:rPr>
              <w:t>5</w:t>
            </w:r>
          </w:p>
        </w:tc>
        <w:tc>
          <w:tcPr>
            <w:tcW w:w="8123" w:type="dxa"/>
            <w:shd w:val="clear" w:color="auto" w:fill="F7F5FA"/>
          </w:tcPr>
          <w:p w14:paraId="749A2B7D" w14:textId="77777777" w:rsidR="00DF6EA5" w:rsidRDefault="00FC2F98">
            <w:pPr>
              <w:spacing w:after="40"/>
            </w:pPr>
            <w:r>
              <w:rPr>
                <w:sz w:val="19"/>
              </w:rPr>
              <w:t>Excellent: very strong, with minor weaknesses</w:t>
            </w:r>
          </w:p>
        </w:tc>
      </w:tr>
      <w:tr w:rsidR="00DF6EA5" w14:paraId="3E136BAA" w14:textId="77777777">
        <w:trPr>
          <w:jc w:val="center"/>
        </w:trPr>
        <w:tc>
          <w:tcPr>
            <w:tcW w:w="1287" w:type="dxa"/>
          </w:tcPr>
          <w:p w14:paraId="1ED64F2E" w14:textId="77777777" w:rsidR="00DF6EA5" w:rsidRDefault="00FC2F98">
            <w:pPr>
              <w:spacing w:after="40"/>
            </w:pPr>
            <w:r>
              <w:rPr>
                <w:sz w:val="19"/>
              </w:rPr>
              <w:t>4</w:t>
            </w:r>
          </w:p>
        </w:tc>
        <w:tc>
          <w:tcPr>
            <w:tcW w:w="8123" w:type="dxa"/>
          </w:tcPr>
          <w:p w14:paraId="1EA86ABC" w14:textId="77777777" w:rsidR="00DF6EA5" w:rsidRDefault="00FC2F98">
            <w:pPr>
              <w:spacing w:after="40"/>
            </w:pPr>
            <w:r>
              <w:rPr>
                <w:sz w:val="19"/>
              </w:rPr>
              <w:t>Very good: strong, with some weaknesses</w:t>
            </w:r>
          </w:p>
        </w:tc>
      </w:tr>
      <w:tr w:rsidR="00DF6EA5" w14:paraId="427C2F3C" w14:textId="77777777">
        <w:trPr>
          <w:jc w:val="center"/>
        </w:trPr>
        <w:tc>
          <w:tcPr>
            <w:tcW w:w="1287" w:type="dxa"/>
            <w:shd w:val="clear" w:color="auto" w:fill="F7F5FA"/>
          </w:tcPr>
          <w:p w14:paraId="0A162989" w14:textId="77777777" w:rsidR="00DF6EA5" w:rsidRDefault="00FC2F98">
            <w:pPr>
              <w:spacing w:after="40"/>
            </w:pPr>
            <w:r>
              <w:rPr>
                <w:sz w:val="19"/>
              </w:rPr>
              <w:t>3</w:t>
            </w:r>
          </w:p>
        </w:tc>
        <w:tc>
          <w:tcPr>
            <w:tcW w:w="8123" w:type="dxa"/>
            <w:shd w:val="clear" w:color="auto" w:fill="F7F5FA"/>
          </w:tcPr>
          <w:p w14:paraId="0F4418E8" w14:textId="77777777" w:rsidR="00DF6EA5" w:rsidRDefault="00FC2F98">
            <w:pPr>
              <w:spacing w:after="40"/>
            </w:pPr>
            <w:r>
              <w:rPr>
                <w:sz w:val="19"/>
              </w:rPr>
              <w:t>Good: sound, but with clear weaknesses</w:t>
            </w:r>
          </w:p>
        </w:tc>
      </w:tr>
      <w:tr w:rsidR="00DF6EA5" w14:paraId="05B988F9" w14:textId="77777777">
        <w:trPr>
          <w:jc w:val="center"/>
        </w:trPr>
        <w:tc>
          <w:tcPr>
            <w:tcW w:w="1287" w:type="dxa"/>
          </w:tcPr>
          <w:p w14:paraId="312CD80E" w14:textId="77777777" w:rsidR="00DF6EA5" w:rsidRDefault="00FC2F98">
            <w:pPr>
              <w:spacing w:after="40"/>
            </w:pPr>
            <w:r>
              <w:rPr>
                <w:sz w:val="19"/>
              </w:rPr>
              <w:t>2</w:t>
            </w:r>
          </w:p>
        </w:tc>
        <w:tc>
          <w:tcPr>
            <w:tcW w:w="8123" w:type="dxa"/>
          </w:tcPr>
          <w:p w14:paraId="206960F6" w14:textId="77777777" w:rsidR="00DF6EA5" w:rsidRDefault="00FC2F98">
            <w:pPr>
              <w:spacing w:after="40"/>
            </w:pPr>
            <w:r>
              <w:rPr>
                <w:sz w:val="19"/>
              </w:rPr>
              <w:t>Weak: significant weaknesses</w:t>
            </w:r>
          </w:p>
        </w:tc>
      </w:tr>
      <w:tr w:rsidR="00DF6EA5" w14:paraId="1AFA111D" w14:textId="77777777">
        <w:trPr>
          <w:jc w:val="center"/>
        </w:trPr>
        <w:tc>
          <w:tcPr>
            <w:tcW w:w="1287" w:type="dxa"/>
            <w:shd w:val="clear" w:color="auto" w:fill="F7F5FA"/>
          </w:tcPr>
          <w:p w14:paraId="39C87680" w14:textId="77777777" w:rsidR="00DF6EA5" w:rsidRDefault="00FC2F98">
            <w:pPr>
              <w:spacing w:after="40"/>
            </w:pPr>
            <w:r>
              <w:rPr>
                <w:sz w:val="19"/>
              </w:rPr>
              <w:t>1</w:t>
            </w:r>
          </w:p>
        </w:tc>
        <w:tc>
          <w:tcPr>
            <w:tcW w:w="8123" w:type="dxa"/>
            <w:shd w:val="clear" w:color="auto" w:fill="F7F5FA"/>
          </w:tcPr>
          <w:p w14:paraId="5A76CF43" w14:textId="77777777" w:rsidR="00DF6EA5" w:rsidRDefault="00FC2F98">
            <w:pPr>
              <w:spacing w:after="40"/>
            </w:pPr>
            <w:r>
              <w:rPr>
                <w:sz w:val="19"/>
              </w:rPr>
              <w:t>Poor: does not meet the criterion</w:t>
            </w:r>
          </w:p>
        </w:tc>
      </w:tr>
    </w:tbl>
    <w:p w14:paraId="745834D8" w14:textId="321B95B2" w:rsidR="00DF6EA5" w:rsidRDefault="00DF6EA5"/>
    <w:p w14:paraId="76F03F12" w14:textId="77777777" w:rsidR="00DF6EA5" w:rsidRDefault="00FC2F98">
      <w:pPr>
        <w:spacing w:before="360"/>
      </w:pPr>
      <w:r>
        <w:rPr>
          <w:noProof/>
        </w:rPr>
        <w:drawing>
          <wp:inline distT="0" distB="0" distL="0" distR="0" wp14:anchorId="5FA261F8" wp14:editId="73955AA1">
            <wp:extent cx="1437750" cy="3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src.png"/>
                    <pic:cNvPicPr/>
                  </pic:nvPicPr>
                  <pic:blipFill>
                    <a:blip r:embed="rId9"/>
                    <a:stretch>
                      <a:fillRect/>
                    </a:stretch>
                  </pic:blipFill>
                  <pic:spPr>
                    <a:xfrm>
                      <a:off x="0" y="0"/>
                      <a:ext cx="1437750" cy="360000"/>
                    </a:xfrm>
                    <a:prstGeom prst="rect">
                      <a:avLst/>
                    </a:prstGeom>
                  </pic:spPr>
                </pic:pic>
              </a:graphicData>
            </a:graphic>
          </wp:inline>
        </w:drawing>
      </w:r>
    </w:p>
    <w:p w14:paraId="79B09870" w14:textId="77777777" w:rsidR="00DF6EA5" w:rsidRDefault="00FC2F98">
      <w:r>
        <w:rPr>
          <w:color w:val="595959"/>
          <w:sz w:val="17"/>
        </w:rPr>
        <w:t>NeuroSYNC – UK Multidisciplinary Centre for Neuromorphic Systems and Computing is funded by the Engineering and Physical Sciences Research Council (EPSRC), part of UK Research and Innovation (grant UKRI982).</w:t>
      </w:r>
    </w:p>
    <w:sectPr w:rsidR="00DF6EA5" w:rsidSect="00034616">
      <w:headerReference w:type="default" r:id="rId10"/>
      <w:footerReference w:type="default" r:id="rId11"/>
      <w:pgSz w:w="11906" w:h="16838"/>
      <w:pgMar w:top="1361" w:right="1247" w:bottom="1134" w:left="1247" w:header="51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F459F6" w14:textId="77777777" w:rsidR="001A267D" w:rsidRDefault="001A267D">
      <w:pPr>
        <w:spacing w:after="0" w:line="240" w:lineRule="auto"/>
      </w:pPr>
      <w:r>
        <w:separator/>
      </w:r>
    </w:p>
  </w:endnote>
  <w:endnote w:type="continuationSeparator" w:id="0">
    <w:p w14:paraId="62098172" w14:textId="77777777" w:rsidR="001A267D" w:rsidRDefault="001A2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634762" w14:textId="1CFB2CE2" w:rsidR="00DF6EA5" w:rsidRDefault="00FC2F98">
    <w:pPr>
      <w:pStyle w:val="Footer"/>
      <w:tabs>
        <w:tab w:val="right" w:pos="9412"/>
      </w:tabs>
    </w:pPr>
    <w:r>
      <w:rPr>
        <w:color w:val="595959"/>
        <w:sz w:val="16"/>
      </w:rPr>
      <w:t>NeuroSYNC Flexible Fund · neuromorphic@aston.ac.uk · uk-neuromorphic-centre.net</w:t>
    </w:r>
    <w:r>
      <w:rPr>
        <w:color w:val="595959"/>
        <w:sz w:val="16"/>
      </w:rPr>
      <w:tab/>
      <w:t xml:space="preserve">Page </w:t>
    </w:r>
    <w:r>
      <w:rPr>
        <w:color w:val="595959"/>
        <w:sz w:val="16"/>
      </w:rPr>
      <w:fldChar w:fldCharType="begin"/>
    </w:r>
    <w:r>
      <w:rPr>
        <w:color w:val="595959"/>
        <w:sz w:val="16"/>
      </w:rPr>
      <w:instrText>PAGE</w:instrText>
    </w:r>
    <w:r>
      <w:rPr>
        <w:color w:val="595959"/>
        <w:sz w:val="16"/>
      </w:rPr>
      <w:fldChar w:fldCharType="separate"/>
    </w:r>
    <w:r w:rsidR="00B71693">
      <w:rPr>
        <w:noProof/>
        <w:color w:val="595959"/>
        <w:sz w:val="16"/>
      </w:rPr>
      <w:t>1</w:t>
    </w:r>
    <w:r>
      <w:rPr>
        <w:color w:val="59595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403C64" w14:textId="77777777" w:rsidR="001A267D" w:rsidRDefault="001A267D">
      <w:pPr>
        <w:spacing w:after="0" w:line="240" w:lineRule="auto"/>
      </w:pPr>
      <w:r>
        <w:separator/>
      </w:r>
    </w:p>
  </w:footnote>
  <w:footnote w:type="continuationSeparator" w:id="0">
    <w:p w14:paraId="018CCA5C" w14:textId="77777777" w:rsidR="001A267D" w:rsidRDefault="001A26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8B5543" w14:textId="77777777" w:rsidR="00DF6EA5" w:rsidRDefault="00FC2F98">
    <w:pPr>
      <w:pStyle w:val="Header"/>
      <w:tabs>
        <w:tab w:val="right" w:pos="9412"/>
      </w:tabs>
    </w:pPr>
    <w:r>
      <w:rPr>
        <w:noProof/>
      </w:rPr>
      <w:drawing>
        <wp:inline distT="0" distB="0" distL="0" distR="0" wp14:anchorId="43C2D623" wp14:editId="249DDC1A">
          <wp:extent cx="1068785" cy="413999"/>
          <wp:effectExtent l="0" t="0" r="0" b="0"/>
          <wp:docPr id="278834799" name="Picture 278834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rosync_logo.png"/>
                  <pic:cNvPicPr/>
                </pic:nvPicPr>
                <pic:blipFill>
                  <a:blip r:embed="rId1"/>
                  <a:stretch>
                    <a:fillRect/>
                  </a:stretch>
                </pic:blipFill>
                <pic:spPr>
                  <a:xfrm>
                    <a:off x="0" y="0"/>
                    <a:ext cx="1068785" cy="413999"/>
                  </a:xfrm>
                  <a:prstGeom prst="rect">
                    <a:avLst/>
                  </a:prstGeom>
                </pic:spPr>
              </pic:pic>
            </a:graphicData>
          </a:graphic>
        </wp:inline>
      </w:drawing>
    </w:r>
    <w:r>
      <w:tab/>
    </w:r>
    <w:r>
      <w:tab/>
    </w:r>
    <w:r>
      <w:rPr>
        <w:color w:val="595959"/>
        <w:sz w:val="16"/>
      </w:rPr>
      <w:t>Flexible Fund · Round 1 · Guidance · 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91050418">
    <w:abstractNumId w:val="8"/>
  </w:num>
  <w:num w:numId="2" w16cid:durableId="1086265801">
    <w:abstractNumId w:val="6"/>
  </w:num>
  <w:num w:numId="3" w16cid:durableId="1516070056">
    <w:abstractNumId w:val="5"/>
  </w:num>
  <w:num w:numId="4" w16cid:durableId="2080246626">
    <w:abstractNumId w:val="4"/>
  </w:num>
  <w:num w:numId="5" w16cid:durableId="1465271838">
    <w:abstractNumId w:val="7"/>
  </w:num>
  <w:num w:numId="6" w16cid:durableId="1544945978">
    <w:abstractNumId w:val="3"/>
  </w:num>
  <w:num w:numId="7" w16cid:durableId="299769422">
    <w:abstractNumId w:val="2"/>
  </w:num>
  <w:num w:numId="8" w16cid:durableId="13575033">
    <w:abstractNumId w:val="1"/>
  </w:num>
  <w:num w:numId="9" w16cid:durableId="3405464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6145"/>
    <w:rsid w:val="000B4AC0"/>
    <w:rsid w:val="000E48DA"/>
    <w:rsid w:val="000F1D5D"/>
    <w:rsid w:val="0015074B"/>
    <w:rsid w:val="001A267D"/>
    <w:rsid w:val="00211A20"/>
    <w:rsid w:val="002474CD"/>
    <w:rsid w:val="0029639D"/>
    <w:rsid w:val="002C48FF"/>
    <w:rsid w:val="002F4664"/>
    <w:rsid w:val="00326F90"/>
    <w:rsid w:val="0033385C"/>
    <w:rsid w:val="00373BB9"/>
    <w:rsid w:val="0038525C"/>
    <w:rsid w:val="00417C71"/>
    <w:rsid w:val="00446DCA"/>
    <w:rsid w:val="0045518F"/>
    <w:rsid w:val="00513ED5"/>
    <w:rsid w:val="005276C6"/>
    <w:rsid w:val="005E1E7D"/>
    <w:rsid w:val="005E4C68"/>
    <w:rsid w:val="00615063"/>
    <w:rsid w:val="00666FFA"/>
    <w:rsid w:val="00711F4B"/>
    <w:rsid w:val="00777E8A"/>
    <w:rsid w:val="009770F0"/>
    <w:rsid w:val="009D38F2"/>
    <w:rsid w:val="00A72FF7"/>
    <w:rsid w:val="00AA1D8D"/>
    <w:rsid w:val="00AE30CC"/>
    <w:rsid w:val="00B14A23"/>
    <w:rsid w:val="00B47730"/>
    <w:rsid w:val="00B71693"/>
    <w:rsid w:val="00C34489"/>
    <w:rsid w:val="00CB0664"/>
    <w:rsid w:val="00DF6EA5"/>
    <w:rsid w:val="00EA54E7"/>
    <w:rsid w:val="00ED6F2A"/>
    <w:rsid w:val="00EE2E38"/>
    <w:rsid w:val="00FC2F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0266CD0-83C4-2243-971A-CF7A8FF03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320"/>
      <w:outlineLvl w:val="0"/>
    </w:pPr>
    <w:rPr>
      <w:rFonts w:cs="Arial"/>
      <w:b/>
      <w:bCs/>
      <w:color w:val="5B2D90"/>
      <w:sz w:val="3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cs="Arial"/>
      <w:b/>
      <w:bCs/>
      <w:color w:val="5B2D9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pPr>
    <w:rPr>
      <w:rFonts w:cs="Arial"/>
      <w:b/>
      <w:color w:val="5B2D9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B71693"/>
    <w:pPr>
      <w:spacing w:after="0" w:line="240" w:lineRule="auto"/>
    </w:pPr>
    <w:rPr>
      <w:rFonts w:ascii="Arial" w:eastAsia="Arial" w:hAnsi="Arial"/>
      <w:sz w:val="21"/>
    </w:rPr>
  </w:style>
  <w:style w:type="character" w:styleId="Hyperlink">
    <w:name w:val="Hyperlink"/>
    <w:basedOn w:val="DefaultParagraphFont"/>
    <w:uiPriority w:val="99"/>
    <w:unhideWhenUsed/>
    <w:rsid w:val="002F4664"/>
    <w:rPr>
      <w:color w:val="0000FF" w:themeColor="hyperlink"/>
      <w:u w:val="single"/>
    </w:rPr>
  </w:style>
  <w:style w:type="character" w:styleId="UnresolvedMention">
    <w:name w:val="Unresolved Mention"/>
    <w:basedOn w:val="DefaultParagraphFont"/>
    <w:uiPriority w:val="99"/>
    <w:semiHidden/>
    <w:unhideWhenUsed/>
    <w:rsid w:val="002F4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k-neuromorphic-centre.net/tea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3863</Words>
  <Characters>23450</Characters>
  <Application>Microsoft Office Word</Application>
  <DocSecurity>0</DocSecurity>
  <Lines>558</Lines>
  <Paragraphs>216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27097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NeuroSYNC Flexible Fund – Guidance for applicants (draft)</dc:title>
  <dc:subject/>
  <dc:creator>Natalia Manuilovich</dc:creator>
  <cp:keywords/>
  <dc:description/>
  <cp:lastModifiedBy>Nataliia Manuilovich</cp:lastModifiedBy>
  <cp:revision>35</cp:revision>
  <dcterms:created xsi:type="dcterms:W3CDTF">2026-10-21T22:16:00Z</dcterms:created>
  <dcterms:modified xsi:type="dcterms:W3CDTF">2026-11-04T13:21:00Z</dcterms:modified>
  <cp:category/>
</cp:coreProperties>
</file>